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72E9" w14:textId="413388FC" w:rsidR="00112092" w:rsidRPr="00922D3A" w:rsidRDefault="00112092" w:rsidP="00466EC1">
      <w:pPr>
        <w:spacing w:after="80" w:line="240" w:lineRule="auto"/>
        <w:jc w:val="center"/>
        <w:rPr>
          <w:rFonts w:ascii="Montserrat" w:eastAsia="Calibri" w:hAnsi="Montserrat" w:cs="Arial"/>
          <w:b/>
          <w:caps/>
          <w:sz w:val="40"/>
          <w:szCs w:val="40"/>
        </w:rPr>
      </w:pPr>
      <w:r>
        <w:rPr>
          <w:rFonts w:ascii="Montserrat" w:hAnsi="Montserrat"/>
          <w:b/>
          <w:caps/>
          <w:sz w:val="40"/>
          <w:szCs w:val="40"/>
        </w:rPr>
        <w:t>GL EVENTS: REVENUE UP 9%</w:t>
      </w:r>
      <w:r>
        <w:rPr>
          <w:rFonts w:ascii="Montserrat" w:hAnsi="Montserrat"/>
          <w:b/>
          <w:caps/>
          <w:sz w:val="40"/>
          <w:szCs w:val="40"/>
        </w:rPr>
        <w:br/>
        <w:t>IN THE FIRST QUARTER OF 2026</w:t>
      </w:r>
    </w:p>
    <w:p w14:paraId="7D4A38D2" w14:textId="77777777" w:rsidR="00112092" w:rsidRPr="00922D3A" w:rsidRDefault="00112092" w:rsidP="00112092">
      <w:pPr>
        <w:rPr>
          <w:rFonts w:ascii="Montserrat" w:eastAsia="Calibri" w:hAnsi="Montserrat" w:cs="Arial"/>
          <w:sz w:val="16"/>
          <w:szCs w:val="16"/>
        </w:rPr>
      </w:pPr>
    </w:p>
    <w:p w14:paraId="2372CAE0" w14:textId="751F1897" w:rsidR="00112092" w:rsidRPr="00922D3A" w:rsidRDefault="00112092" w:rsidP="00112092">
      <w:pPr>
        <w:jc w:val="both"/>
        <w:rPr>
          <w:rFonts w:ascii="Calibri Light" w:eastAsia="Calibri" w:hAnsi="Calibri Light" w:cs="Calibri Light"/>
        </w:rPr>
      </w:pPr>
      <w:r>
        <w:rPr>
          <w:rFonts w:ascii="Calibri Light" w:hAnsi="Calibri Light"/>
          <w:b/>
        </w:rPr>
        <w:t xml:space="preserve">GL EVENTS </w:t>
      </w:r>
      <w:r>
        <w:rPr>
          <w:rFonts w:ascii="Calibri Light" w:hAnsi="Calibri Light"/>
        </w:rPr>
        <w:t>(FR0000066672, GLO), THE INTEGRATED EVENT INDUSTRY GROUP, ANNOUNCES ITS 2026 FIRST QUARTER REVENUE.</w:t>
      </w:r>
    </w:p>
    <w:p w14:paraId="70941EE3" w14:textId="7DD3D479" w:rsidR="00112092" w:rsidRPr="00ED7DD9" w:rsidRDefault="00112092" w:rsidP="00ED7DD9">
      <w:pPr>
        <w:numPr>
          <w:ilvl w:val="0"/>
          <w:numId w:val="2"/>
        </w:numPr>
        <w:contextualSpacing/>
        <w:jc w:val="both"/>
        <w:rPr>
          <w:rFonts w:ascii="Calibri" w:eastAsia="Calibri" w:hAnsi="Calibri" w:cs="Calibri"/>
          <w:b/>
          <w:sz w:val="24"/>
          <w:szCs w:val="24"/>
        </w:rPr>
      </w:pPr>
      <w:r>
        <w:rPr>
          <w:rFonts w:ascii="Calibri" w:hAnsi="Calibri"/>
          <w:b/>
          <w:sz w:val="24"/>
          <w:szCs w:val="24"/>
        </w:rPr>
        <w:t>Q1 2026 revenue: €468.1 million, up 8.9% (+9.4% like-for-like)</w:t>
      </w:r>
      <w:bookmarkStart w:id="0" w:name="_Ref226626836"/>
      <w:bookmarkStart w:id="1" w:name="_Ref226626779"/>
      <w:r w:rsidR="00FA4CDE">
        <w:rPr>
          <w:rStyle w:val="Appelnotedebasdep"/>
          <w:rFonts w:ascii="Calibri" w:eastAsia="Calibri" w:hAnsi="Calibri" w:cs="Calibri"/>
          <w:b/>
          <w:sz w:val="24"/>
          <w:szCs w:val="24"/>
        </w:rPr>
        <w:footnoteReference w:id="2"/>
      </w:r>
      <w:bookmarkEnd w:id="0"/>
    </w:p>
    <w:bookmarkEnd w:id="1"/>
    <w:p w14:paraId="72F99A8A" w14:textId="68281F46" w:rsidR="006C7D49" w:rsidRDefault="006C7D49" w:rsidP="00A1735F">
      <w:pPr>
        <w:numPr>
          <w:ilvl w:val="0"/>
          <w:numId w:val="2"/>
        </w:numPr>
        <w:contextualSpacing/>
        <w:jc w:val="both"/>
        <w:rPr>
          <w:rFonts w:ascii="Calibri" w:eastAsia="Calibri" w:hAnsi="Calibri" w:cs="Calibri"/>
          <w:b/>
          <w:sz w:val="24"/>
          <w:szCs w:val="24"/>
        </w:rPr>
      </w:pPr>
      <w:r>
        <w:rPr>
          <w:rFonts w:ascii="Calibri" w:hAnsi="Calibri"/>
          <w:b/>
          <w:sz w:val="24"/>
          <w:szCs w:val="24"/>
        </w:rPr>
        <w:t>Continued international expansion across all continents</w:t>
      </w:r>
    </w:p>
    <w:p w14:paraId="067CCE74" w14:textId="02DCFD99" w:rsidR="009A187A" w:rsidRPr="00A1735F" w:rsidRDefault="00A74E29" w:rsidP="00A1735F">
      <w:pPr>
        <w:numPr>
          <w:ilvl w:val="0"/>
          <w:numId w:val="2"/>
        </w:numPr>
        <w:contextualSpacing/>
        <w:jc w:val="both"/>
        <w:rPr>
          <w:rFonts w:ascii="Calibri" w:eastAsia="Calibri" w:hAnsi="Calibri" w:cs="Calibri"/>
          <w:b/>
          <w:sz w:val="24"/>
          <w:szCs w:val="24"/>
        </w:rPr>
      </w:pPr>
      <w:r>
        <w:rPr>
          <w:rFonts w:ascii="Calibri" w:hAnsi="Calibri"/>
          <w:b/>
          <w:sz w:val="24"/>
          <w:szCs w:val="24"/>
        </w:rPr>
        <w:t>All 2026 targets confirmed</w:t>
      </w:r>
    </w:p>
    <w:p w14:paraId="7D71E7AB" w14:textId="3F869675" w:rsidR="00112092" w:rsidRPr="00922D3A" w:rsidRDefault="00112092" w:rsidP="00112092">
      <w:pPr>
        <w:jc w:val="both"/>
        <w:rPr>
          <w:rFonts w:ascii="Calibri" w:eastAsia="Calibri" w:hAnsi="Calibri" w:cs="Calibri"/>
        </w:rPr>
      </w:pPr>
    </w:p>
    <w:tbl>
      <w:tblPr>
        <w:tblW w:w="8112" w:type="dxa"/>
        <w:jc w:val="center"/>
        <w:tblCellMar>
          <w:left w:w="0" w:type="dxa"/>
          <w:right w:w="0" w:type="dxa"/>
        </w:tblCellMar>
        <w:tblLook w:val="04A0" w:firstRow="1" w:lastRow="0" w:firstColumn="1" w:lastColumn="0" w:noHBand="0" w:noVBand="1"/>
      </w:tblPr>
      <w:tblGrid>
        <w:gridCol w:w="2907"/>
        <w:gridCol w:w="1006"/>
        <w:gridCol w:w="1141"/>
        <w:gridCol w:w="1002"/>
        <w:gridCol w:w="1142"/>
        <w:gridCol w:w="914"/>
      </w:tblGrid>
      <w:tr w:rsidR="00112092" w:rsidRPr="004B5837" w14:paraId="6C48A2AE" w14:textId="77777777" w:rsidTr="00112092">
        <w:trPr>
          <w:trHeight w:val="74"/>
          <w:jc w:val="center"/>
        </w:trPr>
        <w:tc>
          <w:tcPr>
            <w:tcW w:w="2907" w:type="dxa"/>
            <w:vMerge w:val="restart"/>
            <w:tcBorders>
              <w:top w:val="single" w:sz="12" w:space="0" w:color="B4C6E7"/>
              <w:left w:val="nil"/>
              <w:right w:val="nil"/>
            </w:tcBorders>
            <w:tcMar>
              <w:top w:w="15" w:type="dxa"/>
              <w:left w:w="15" w:type="dxa"/>
              <w:bottom w:w="0" w:type="dxa"/>
              <w:right w:w="15" w:type="dxa"/>
            </w:tcMar>
            <w:vAlign w:val="center"/>
            <w:hideMark/>
          </w:tcPr>
          <w:p w14:paraId="15D18FF9" w14:textId="77777777"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Revenue by division (€m)</w:t>
            </w:r>
          </w:p>
        </w:tc>
        <w:tc>
          <w:tcPr>
            <w:tcW w:w="4291" w:type="dxa"/>
            <w:gridSpan w:val="4"/>
            <w:tcBorders>
              <w:top w:val="single" w:sz="12" w:space="0" w:color="B4C6E7"/>
              <w:left w:val="nil"/>
              <w:bottom w:val="single" w:sz="12" w:space="0" w:color="9BC2E6"/>
              <w:right w:val="nil"/>
            </w:tcBorders>
            <w:vAlign w:val="center"/>
          </w:tcPr>
          <w:p w14:paraId="238CF8E2" w14:textId="77777777"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Reported</w:t>
            </w:r>
            <w:r>
              <w:rPr>
                <w:rFonts w:ascii="Calibri" w:hAnsi="Calibri"/>
                <w:b/>
                <w:color w:val="000000"/>
                <w:sz w:val="18"/>
                <w:szCs w:val="18"/>
              </w:rPr>
              <w:br/>
              <w:t xml:space="preserve">basis </w:t>
            </w:r>
          </w:p>
        </w:tc>
        <w:tc>
          <w:tcPr>
            <w:tcW w:w="914" w:type="dxa"/>
            <w:tcBorders>
              <w:top w:val="single" w:sz="12" w:space="0" w:color="B4C6E7"/>
              <w:left w:val="nil"/>
              <w:bottom w:val="single" w:sz="12" w:space="0" w:color="9BC2E6"/>
              <w:right w:val="nil"/>
            </w:tcBorders>
          </w:tcPr>
          <w:p w14:paraId="7234BD21" w14:textId="77777777" w:rsidR="00112092" w:rsidRPr="00922D3A" w:rsidRDefault="00112092" w:rsidP="00112092">
            <w:pPr>
              <w:spacing w:after="0" w:line="240" w:lineRule="auto"/>
              <w:jc w:val="center"/>
              <w:rPr>
                <w:rFonts w:ascii="Calibri" w:eastAsia="Calibri" w:hAnsi="Calibri" w:cs="Calibri"/>
                <w:b/>
                <w:color w:val="000000"/>
                <w:sz w:val="18"/>
                <w:szCs w:val="18"/>
              </w:rPr>
            </w:pPr>
          </w:p>
        </w:tc>
      </w:tr>
      <w:tr w:rsidR="00112092" w:rsidRPr="00112092" w14:paraId="2AE396CC" w14:textId="77777777" w:rsidTr="004A3F8F">
        <w:trPr>
          <w:trHeight w:val="69"/>
          <w:jc w:val="center"/>
        </w:trPr>
        <w:tc>
          <w:tcPr>
            <w:tcW w:w="2907" w:type="dxa"/>
            <w:vMerge/>
            <w:tcBorders>
              <w:left w:val="nil"/>
              <w:bottom w:val="single" w:sz="12" w:space="0" w:color="9BC2E6"/>
              <w:right w:val="nil"/>
            </w:tcBorders>
            <w:tcMar>
              <w:top w:w="15" w:type="dxa"/>
              <w:left w:w="15" w:type="dxa"/>
              <w:bottom w:w="0" w:type="dxa"/>
              <w:right w:w="15" w:type="dxa"/>
            </w:tcMar>
            <w:vAlign w:val="center"/>
          </w:tcPr>
          <w:p w14:paraId="3995EB9E" w14:textId="77777777" w:rsidR="00112092" w:rsidRPr="00922D3A" w:rsidRDefault="00112092" w:rsidP="00112092">
            <w:pPr>
              <w:spacing w:after="0" w:line="240" w:lineRule="auto"/>
              <w:jc w:val="center"/>
              <w:rPr>
                <w:rFonts w:ascii="Calibri" w:eastAsia="Calibri" w:hAnsi="Calibri" w:cs="Calibri"/>
                <w:b/>
                <w:color w:val="000000"/>
                <w:sz w:val="18"/>
                <w:szCs w:val="18"/>
              </w:rPr>
            </w:pPr>
          </w:p>
        </w:tc>
        <w:tc>
          <w:tcPr>
            <w:tcW w:w="1006" w:type="dxa"/>
            <w:tcBorders>
              <w:top w:val="single" w:sz="12" w:space="0" w:color="9BC2E6"/>
              <w:left w:val="nil"/>
              <w:bottom w:val="single" w:sz="12" w:space="0" w:color="9BC2E6"/>
              <w:right w:val="nil"/>
            </w:tcBorders>
          </w:tcPr>
          <w:p w14:paraId="477CD05C" w14:textId="44436D8A"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2023</w:t>
            </w:r>
          </w:p>
        </w:tc>
        <w:tc>
          <w:tcPr>
            <w:tcW w:w="1141" w:type="dxa"/>
            <w:tcBorders>
              <w:top w:val="single" w:sz="12" w:space="0" w:color="9BC2E6"/>
              <w:left w:val="nil"/>
              <w:bottom w:val="single" w:sz="12" w:space="0" w:color="9BC2E6"/>
              <w:right w:val="nil"/>
            </w:tcBorders>
          </w:tcPr>
          <w:p w14:paraId="1A522999" w14:textId="22F38C38"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2024</w:t>
            </w:r>
          </w:p>
        </w:tc>
        <w:tc>
          <w:tcPr>
            <w:tcW w:w="1002" w:type="dxa"/>
            <w:tcBorders>
              <w:top w:val="single" w:sz="12" w:space="0" w:color="9BC2E6"/>
              <w:left w:val="nil"/>
              <w:bottom w:val="single" w:sz="12" w:space="0" w:color="9BC2E6"/>
              <w:right w:val="nil"/>
            </w:tcBorders>
          </w:tcPr>
          <w:p w14:paraId="5D1293B1" w14:textId="509B6983"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2025</w:t>
            </w:r>
          </w:p>
        </w:tc>
        <w:tc>
          <w:tcPr>
            <w:tcW w:w="1142" w:type="dxa"/>
            <w:tcBorders>
              <w:top w:val="single" w:sz="12" w:space="0" w:color="9BC2E6"/>
              <w:left w:val="nil"/>
              <w:bottom w:val="single" w:sz="12" w:space="0" w:color="9BC2E6"/>
              <w:right w:val="nil"/>
            </w:tcBorders>
          </w:tcPr>
          <w:p w14:paraId="2CB8E796" w14:textId="465A9766"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2026</w:t>
            </w:r>
          </w:p>
        </w:tc>
        <w:tc>
          <w:tcPr>
            <w:tcW w:w="914" w:type="dxa"/>
            <w:tcBorders>
              <w:top w:val="single" w:sz="12" w:space="0" w:color="9BC2E6"/>
              <w:left w:val="nil"/>
              <w:bottom w:val="single" w:sz="12" w:space="0" w:color="9BC2E6"/>
              <w:right w:val="nil"/>
            </w:tcBorders>
          </w:tcPr>
          <w:p w14:paraId="4C9929C0" w14:textId="76AD7D06" w:rsidR="00112092" w:rsidRPr="00922D3A" w:rsidRDefault="00112092" w:rsidP="00112092">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 xml:space="preserve">Change 26/25 </w:t>
            </w:r>
          </w:p>
        </w:tc>
      </w:tr>
      <w:tr w:rsidR="00986256" w:rsidRPr="004B5837" w14:paraId="4EE8AAFA" w14:textId="77777777" w:rsidTr="000E07BA">
        <w:trPr>
          <w:trHeight w:val="252"/>
          <w:jc w:val="center"/>
        </w:trPr>
        <w:tc>
          <w:tcPr>
            <w:tcW w:w="2907" w:type="dxa"/>
            <w:tcBorders>
              <w:top w:val="single" w:sz="12" w:space="0" w:color="B4C6E7"/>
              <w:left w:val="nil"/>
              <w:bottom w:val="nil"/>
              <w:right w:val="nil"/>
            </w:tcBorders>
            <w:tcMar>
              <w:top w:w="15" w:type="dxa"/>
              <w:left w:w="15" w:type="dxa"/>
              <w:bottom w:w="0" w:type="dxa"/>
              <w:right w:w="15" w:type="dxa"/>
            </w:tcMar>
            <w:vAlign w:val="center"/>
          </w:tcPr>
          <w:p w14:paraId="781CE719"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LIVE</w:t>
            </w:r>
          </w:p>
        </w:tc>
        <w:tc>
          <w:tcPr>
            <w:tcW w:w="1006" w:type="dxa"/>
            <w:tcBorders>
              <w:top w:val="single" w:sz="12" w:space="0" w:color="B4C6E7"/>
              <w:left w:val="nil"/>
              <w:bottom w:val="nil"/>
              <w:right w:val="nil"/>
            </w:tcBorders>
          </w:tcPr>
          <w:p w14:paraId="07DAA5DE" w14:textId="66F8DCB4"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150.4</w:t>
            </w:r>
          </w:p>
        </w:tc>
        <w:tc>
          <w:tcPr>
            <w:tcW w:w="1141" w:type="dxa"/>
            <w:tcBorders>
              <w:top w:val="single" w:sz="12" w:space="0" w:color="B4C6E7"/>
              <w:left w:val="nil"/>
              <w:bottom w:val="nil"/>
              <w:right w:val="nil"/>
            </w:tcBorders>
            <w:shd w:val="clear" w:color="000000" w:fill="FFFFFF"/>
            <w:tcMar>
              <w:top w:w="15" w:type="dxa"/>
              <w:left w:w="15" w:type="dxa"/>
              <w:bottom w:w="0" w:type="dxa"/>
              <w:right w:w="15" w:type="dxa"/>
            </w:tcMar>
          </w:tcPr>
          <w:p w14:paraId="6A19EBD2" w14:textId="1E789504"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192.4</w:t>
            </w:r>
          </w:p>
        </w:tc>
        <w:tc>
          <w:tcPr>
            <w:tcW w:w="1002" w:type="dxa"/>
            <w:tcBorders>
              <w:top w:val="single" w:sz="12" w:space="0" w:color="B4C6E7"/>
              <w:left w:val="nil"/>
              <w:bottom w:val="nil"/>
              <w:right w:val="nil"/>
            </w:tcBorders>
          </w:tcPr>
          <w:p w14:paraId="7F78BDA3" w14:textId="07488622"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195.5</w:t>
            </w:r>
          </w:p>
        </w:tc>
        <w:tc>
          <w:tcPr>
            <w:tcW w:w="1142" w:type="dxa"/>
            <w:tcBorders>
              <w:top w:val="single" w:sz="12" w:space="0" w:color="B4C6E7"/>
              <w:left w:val="nil"/>
              <w:bottom w:val="nil"/>
              <w:right w:val="nil"/>
            </w:tcBorders>
            <w:shd w:val="clear" w:color="000000" w:fill="F2F2F2"/>
            <w:tcMar>
              <w:top w:w="15" w:type="dxa"/>
              <w:left w:w="15" w:type="dxa"/>
              <w:bottom w:w="0" w:type="dxa"/>
              <w:right w:w="15" w:type="dxa"/>
            </w:tcMar>
            <w:vAlign w:val="center"/>
          </w:tcPr>
          <w:p w14:paraId="56101B10" w14:textId="38B2B3DF" w:rsidR="00986256" w:rsidRPr="00575663" w:rsidRDefault="00307A12" w:rsidP="00986256">
            <w:pPr>
              <w:spacing w:after="0"/>
              <w:jc w:val="center"/>
              <w:rPr>
                <w:rFonts w:ascii="Calibri" w:eastAsia="Calibri" w:hAnsi="Calibri" w:cs="Calibri"/>
                <w:b/>
                <w:color w:val="000000"/>
                <w:sz w:val="20"/>
                <w:szCs w:val="20"/>
              </w:rPr>
            </w:pPr>
            <w:r>
              <w:rPr>
                <w:rFonts w:ascii="Calibri" w:hAnsi="Calibri"/>
                <w:b/>
                <w:color w:val="000000"/>
                <w:sz w:val="20"/>
                <w:szCs w:val="20"/>
              </w:rPr>
              <w:t>251.5</w:t>
            </w:r>
          </w:p>
        </w:tc>
        <w:tc>
          <w:tcPr>
            <w:tcW w:w="914" w:type="dxa"/>
            <w:tcBorders>
              <w:top w:val="single" w:sz="12" w:space="0" w:color="B4C6E7"/>
              <w:left w:val="nil"/>
              <w:bottom w:val="nil"/>
              <w:right w:val="nil"/>
            </w:tcBorders>
          </w:tcPr>
          <w:p w14:paraId="42EB109A" w14:textId="6FC3E785" w:rsidR="00986256" w:rsidRPr="00575663" w:rsidRDefault="00283BE3" w:rsidP="00986256">
            <w:pPr>
              <w:spacing w:after="0"/>
              <w:jc w:val="center"/>
              <w:rPr>
                <w:rFonts w:ascii="Calibri" w:eastAsia="Calibri" w:hAnsi="Calibri" w:cs="Calibri"/>
                <w:color w:val="000000"/>
                <w:sz w:val="20"/>
                <w:szCs w:val="20"/>
              </w:rPr>
            </w:pPr>
            <w:r>
              <w:rPr>
                <w:rFonts w:ascii="Calibri" w:hAnsi="Calibri"/>
                <w:color w:val="000000"/>
                <w:sz w:val="20"/>
                <w:szCs w:val="20"/>
              </w:rPr>
              <w:t>29%</w:t>
            </w:r>
          </w:p>
        </w:tc>
      </w:tr>
      <w:tr w:rsidR="00986256" w:rsidRPr="00112092" w14:paraId="22BA3A33" w14:textId="77777777" w:rsidTr="000E07BA">
        <w:trPr>
          <w:trHeight w:val="252"/>
          <w:jc w:val="center"/>
        </w:trPr>
        <w:tc>
          <w:tcPr>
            <w:tcW w:w="2907" w:type="dxa"/>
            <w:tcBorders>
              <w:top w:val="nil"/>
              <w:left w:val="nil"/>
              <w:bottom w:val="nil"/>
              <w:right w:val="nil"/>
            </w:tcBorders>
            <w:tcMar>
              <w:top w:w="15" w:type="dxa"/>
              <w:left w:w="15" w:type="dxa"/>
              <w:bottom w:w="0" w:type="dxa"/>
              <w:right w:w="15" w:type="dxa"/>
            </w:tcMar>
            <w:vAlign w:val="center"/>
          </w:tcPr>
          <w:p w14:paraId="4EF41A27"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EXHIBITIONS</w:t>
            </w:r>
          </w:p>
        </w:tc>
        <w:tc>
          <w:tcPr>
            <w:tcW w:w="1006" w:type="dxa"/>
            <w:tcBorders>
              <w:top w:val="nil"/>
              <w:left w:val="nil"/>
              <w:bottom w:val="nil"/>
              <w:right w:val="nil"/>
            </w:tcBorders>
          </w:tcPr>
          <w:p w14:paraId="059C2223" w14:textId="044E8E10"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112.7</w:t>
            </w:r>
          </w:p>
        </w:tc>
        <w:tc>
          <w:tcPr>
            <w:tcW w:w="1141" w:type="dxa"/>
            <w:tcBorders>
              <w:top w:val="nil"/>
              <w:left w:val="nil"/>
              <w:bottom w:val="nil"/>
              <w:right w:val="nil"/>
            </w:tcBorders>
            <w:shd w:val="clear" w:color="000000" w:fill="FFFFFF"/>
            <w:tcMar>
              <w:top w:w="15" w:type="dxa"/>
              <w:left w:w="15" w:type="dxa"/>
              <w:bottom w:w="0" w:type="dxa"/>
              <w:right w:w="15" w:type="dxa"/>
            </w:tcMar>
          </w:tcPr>
          <w:p w14:paraId="51D655A1" w14:textId="7ED366CD"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99.8</w:t>
            </w:r>
          </w:p>
        </w:tc>
        <w:tc>
          <w:tcPr>
            <w:tcW w:w="1002" w:type="dxa"/>
            <w:tcBorders>
              <w:top w:val="nil"/>
              <w:left w:val="nil"/>
              <w:bottom w:val="nil"/>
              <w:right w:val="nil"/>
            </w:tcBorders>
          </w:tcPr>
          <w:p w14:paraId="269FF52E" w14:textId="398D368E"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123.3</w:t>
            </w:r>
          </w:p>
        </w:tc>
        <w:tc>
          <w:tcPr>
            <w:tcW w:w="1142" w:type="dxa"/>
            <w:tcBorders>
              <w:top w:val="nil"/>
              <w:left w:val="nil"/>
              <w:bottom w:val="nil"/>
              <w:right w:val="nil"/>
            </w:tcBorders>
            <w:shd w:val="clear" w:color="000000" w:fill="F2F2F2"/>
            <w:tcMar>
              <w:top w:w="15" w:type="dxa"/>
              <w:left w:w="15" w:type="dxa"/>
              <w:bottom w:w="0" w:type="dxa"/>
              <w:right w:w="15" w:type="dxa"/>
            </w:tcMar>
            <w:vAlign w:val="center"/>
          </w:tcPr>
          <w:p w14:paraId="618DAA91" w14:textId="246BB7F4" w:rsidR="00986256" w:rsidRPr="00575663" w:rsidRDefault="00307A12" w:rsidP="00986256">
            <w:pPr>
              <w:spacing w:after="0"/>
              <w:jc w:val="center"/>
              <w:rPr>
                <w:rFonts w:ascii="Calibri" w:eastAsia="Calibri" w:hAnsi="Calibri" w:cs="Calibri"/>
                <w:b/>
                <w:color w:val="000000"/>
                <w:sz w:val="20"/>
                <w:szCs w:val="20"/>
              </w:rPr>
            </w:pPr>
            <w:r>
              <w:rPr>
                <w:rFonts w:ascii="Calibri" w:hAnsi="Calibri"/>
                <w:b/>
                <w:color w:val="000000"/>
                <w:sz w:val="20"/>
                <w:szCs w:val="20"/>
              </w:rPr>
              <w:t>93.7</w:t>
            </w:r>
          </w:p>
        </w:tc>
        <w:tc>
          <w:tcPr>
            <w:tcW w:w="914" w:type="dxa"/>
            <w:tcBorders>
              <w:top w:val="nil"/>
              <w:left w:val="nil"/>
              <w:bottom w:val="nil"/>
              <w:right w:val="nil"/>
            </w:tcBorders>
            <w:vAlign w:val="center"/>
          </w:tcPr>
          <w:p w14:paraId="12D57A1C" w14:textId="682CBF74" w:rsidR="00986256" w:rsidRPr="00575663" w:rsidRDefault="00307A12" w:rsidP="00986256">
            <w:pPr>
              <w:spacing w:after="0"/>
              <w:jc w:val="center"/>
              <w:rPr>
                <w:rFonts w:ascii="Calibri" w:eastAsia="Calibri" w:hAnsi="Calibri" w:cs="Calibri"/>
                <w:color w:val="000000"/>
                <w:sz w:val="20"/>
                <w:szCs w:val="20"/>
              </w:rPr>
            </w:pPr>
            <w:r>
              <w:rPr>
                <w:rFonts w:ascii="Calibri" w:hAnsi="Calibri"/>
                <w:color w:val="000000"/>
                <w:sz w:val="20"/>
                <w:szCs w:val="20"/>
              </w:rPr>
              <w:t>-24%</w:t>
            </w:r>
          </w:p>
        </w:tc>
      </w:tr>
      <w:tr w:rsidR="00986256" w:rsidRPr="00112092" w14:paraId="12108FD1" w14:textId="77777777" w:rsidTr="004A3F8F">
        <w:trPr>
          <w:trHeight w:val="252"/>
          <w:jc w:val="center"/>
        </w:trPr>
        <w:tc>
          <w:tcPr>
            <w:tcW w:w="2907" w:type="dxa"/>
            <w:tcBorders>
              <w:top w:val="nil"/>
              <w:left w:val="nil"/>
              <w:right w:val="nil"/>
            </w:tcBorders>
            <w:tcMar>
              <w:top w:w="15" w:type="dxa"/>
              <w:left w:w="15" w:type="dxa"/>
              <w:bottom w:w="0" w:type="dxa"/>
              <w:right w:w="15" w:type="dxa"/>
            </w:tcMar>
            <w:vAlign w:val="center"/>
          </w:tcPr>
          <w:p w14:paraId="5D576894"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VENUES</w:t>
            </w:r>
          </w:p>
        </w:tc>
        <w:tc>
          <w:tcPr>
            <w:tcW w:w="1006" w:type="dxa"/>
            <w:tcBorders>
              <w:top w:val="nil"/>
              <w:left w:val="nil"/>
              <w:right w:val="nil"/>
            </w:tcBorders>
          </w:tcPr>
          <w:p w14:paraId="7D53DC7D" w14:textId="7972BEBF"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88.0</w:t>
            </w:r>
          </w:p>
        </w:tc>
        <w:tc>
          <w:tcPr>
            <w:tcW w:w="1141" w:type="dxa"/>
            <w:tcBorders>
              <w:top w:val="nil"/>
              <w:left w:val="nil"/>
              <w:right w:val="nil"/>
            </w:tcBorders>
            <w:shd w:val="clear" w:color="000000" w:fill="FFFFFF"/>
            <w:tcMar>
              <w:top w:w="15" w:type="dxa"/>
              <w:left w:w="15" w:type="dxa"/>
              <w:bottom w:w="0" w:type="dxa"/>
              <w:right w:w="15" w:type="dxa"/>
            </w:tcMar>
          </w:tcPr>
          <w:p w14:paraId="153EA8BD" w14:textId="7B199983"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94.2</w:t>
            </w:r>
          </w:p>
        </w:tc>
        <w:tc>
          <w:tcPr>
            <w:tcW w:w="1002" w:type="dxa"/>
            <w:tcBorders>
              <w:top w:val="nil"/>
              <w:left w:val="nil"/>
              <w:right w:val="nil"/>
            </w:tcBorders>
          </w:tcPr>
          <w:p w14:paraId="1FDC21EB" w14:textId="00C64943"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111.2</w:t>
            </w:r>
          </w:p>
        </w:tc>
        <w:tc>
          <w:tcPr>
            <w:tcW w:w="1142" w:type="dxa"/>
            <w:tcBorders>
              <w:top w:val="nil"/>
              <w:left w:val="nil"/>
              <w:right w:val="nil"/>
            </w:tcBorders>
            <w:shd w:val="clear" w:color="000000" w:fill="F2F2F2"/>
            <w:tcMar>
              <w:top w:w="15" w:type="dxa"/>
              <w:left w:w="15" w:type="dxa"/>
              <w:bottom w:w="0" w:type="dxa"/>
              <w:right w:w="15" w:type="dxa"/>
            </w:tcMar>
          </w:tcPr>
          <w:p w14:paraId="5B0E043E" w14:textId="14AD4116" w:rsidR="00986256" w:rsidRPr="00575663" w:rsidRDefault="00307A12" w:rsidP="00986256">
            <w:pPr>
              <w:spacing w:after="0"/>
              <w:jc w:val="center"/>
              <w:rPr>
                <w:rFonts w:ascii="Calibri" w:eastAsia="Calibri" w:hAnsi="Calibri" w:cs="Calibri"/>
                <w:b/>
                <w:color w:val="000000"/>
                <w:sz w:val="20"/>
                <w:szCs w:val="20"/>
              </w:rPr>
            </w:pPr>
            <w:r>
              <w:rPr>
                <w:rFonts w:ascii="Calibri" w:hAnsi="Calibri"/>
                <w:b/>
                <w:color w:val="000000"/>
                <w:sz w:val="20"/>
                <w:szCs w:val="20"/>
              </w:rPr>
              <w:t>122.8</w:t>
            </w:r>
          </w:p>
        </w:tc>
        <w:tc>
          <w:tcPr>
            <w:tcW w:w="914" w:type="dxa"/>
            <w:tcBorders>
              <w:top w:val="nil"/>
              <w:left w:val="nil"/>
              <w:right w:val="nil"/>
            </w:tcBorders>
            <w:vAlign w:val="center"/>
          </w:tcPr>
          <w:p w14:paraId="43C5B07D" w14:textId="11797A93" w:rsidR="00986256" w:rsidRPr="00575663" w:rsidRDefault="00307A12" w:rsidP="00986256">
            <w:pPr>
              <w:spacing w:after="0"/>
              <w:jc w:val="center"/>
              <w:rPr>
                <w:rFonts w:ascii="Calibri" w:eastAsia="Calibri" w:hAnsi="Calibri" w:cs="Calibri"/>
                <w:color w:val="000000"/>
                <w:sz w:val="20"/>
                <w:szCs w:val="20"/>
              </w:rPr>
            </w:pPr>
            <w:r>
              <w:rPr>
                <w:rFonts w:ascii="Calibri" w:hAnsi="Calibri"/>
                <w:color w:val="000000"/>
                <w:sz w:val="20"/>
                <w:szCs w:val="20"/>
              </w:rPr>
              <w:t>10%</w:t>
            </w:r>
          </w:p>
        </w:tc>
      </w:tr>
      <w:tr w:rsidR="00986256" w:rsidRPr="00112092" w14:paraId="260EF9B0" w14:textId="77777777" w:rsidTr="000E07BA">
        <w:trPr>
          <w:trHeight w:val="252"/>
          <w:jc w:val="center"/>
        </w:trPr>
        <w:tc>
          <w:tcPr>
            <w:tcW w:w="2907" w:type="dxa"/>
            <w:tcBorders>
              <w:top w:val="nil"/>
              <w:left w:val="nil"/>
              <w:bottom w:val="single" w:sz="12" w:space="0" w:color="B4C6E7"/>
              <w:right w:val="nil"/>
            </w:tcBorders>
            <w:tcMar>
              <w:top w:w="15" w:type="dxa"/>
              <w:left w:w="15" w:type="dxa"/>
              <w:bottom w:w="0" w:type="dxa"/>
              <w:right w:w="15" w:type="dxa"/>
            </w:tcMar>
            <w:vAlign w:val="center"/>
            <w:hideMark/>
          </w:tcPr>
          <w:p w14:paraId="206A07B0" w14:textId="444728CC"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CONSOLIDATED TOTAL</w:t>
            </w:r>
          </w:p>
        </w:tc>
        <w:tc>
          <w:tcPr>
            <w:tcW w:w="1006" w:type="dxa"/>
            <w:tcBorders>
              <w:top w:val="nil"/>
              <w:left w:val="nil"/>
              <w:bottom w:val="single" w:sz="12" w:space="0" w:color="B4C6E7"/>
              <w:right w:val="nil"/>
            </w:tcBorders>
          </w:tcPr>
          <w:p w14:paraId="1EB5BEB6" w14:textId="51F52EF5"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351.1</w:t>
            </w:r>
          </w:p>
        </w:tc>
        <w:tc>
          <w:tcPr>
            <w:tcW w:w="1141" w:type="dxa"/>
            <w:tcBorders>
              <w:top w:val="nil"/>
              <w:left w:val="nil"/>
              <w:bottom w:val="single" w:sz="12" w:space="0" w:color="B4C6E7"/>
              <w:right w:val="nil"/>
            </w:tcBorders>
            <w:shd w:val="clear" w:color="000000" w:fill="FFFFFF"/>
            <w:tcMar>
              <w:top w:w="15" w:type="dxa"/>
              <w:left w:w="15" w:type="dxa"/>
              <w:bottom w:w="0" w:type="dxa"/>
              <w:right w:w="15" w:type="dxa"/>
            </w:tcMar>
            <w:hideMark/>
          </w:tcPr>
          <w:p w14:paraId="3D620271" w14:textId="09C5BE6A"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386.5</w:t>
            </w:r>
          </w:p>
        </w:tc>
        <w:tc>
          <w:tcPr>
            <w:tcW w:w="1002" w:type="dxa"/>
            <w:tcBorders>
              <w:top w:val="nil"/>
              <w:left w:val="nil"/>
              <w:bottom w:val="single" w:sz="12" w:space="0" w:color="B4C6E7"/>
              <w:right w:val="nil"/>
            </w:tcBorders>
          </w:tcPr>
          <w:p w14:paraId="740476F9" w14:textId="1DA84AD1"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430.0</w:t>
            </w:r>
          </w:p>
        </w:tc>
        <w:tc>
          <w:tcPr>
            <w:tcW w:w="1142" w:type="dxa"/>
            <w:tcBorders>
              <w:top w:val="nil"/>
              <w:left w:val="nil"/>
              <w:bottom w:val="single" w:sz="12" w:space="0" w:color="B4C6E7"/>
              <w:right w:val="nil"/>
            </w:tcBorders>
            <w:shd w:val="clear" w:color="000000" w:fill="F2F2F2"/>
            <w:tcMar>
              <w:top w:w="15" w:type="dxa"/>
              <w:left w:w="15" w:type="dxa"/>
              <w:bottom w:w="0" w:type="dxa"/>
              <w:right w:w="15" w:type="dxa"/>
            </w:tcMar>
            <w:vAlign w:val="center"/>
          </w:tcPr>
          <w:p w14:paraId="6A552B0F" w14:textId="2835A607" w:rsidR="00986256" w:rsidRPr="00575663" w:rsidRDefault="00307A12" w:rsidP="00986256">
            <w:pPr>
              <w:spacing w:after="0"/>
              <w:jc w:val="center"/>
              <w:rPr>
                <w:rFonts w:ascii="Calibri" w:eastAsia="Calibri" w:hAnsi="Calibri" w:cs="Calibri"/>
                <w:b/>
                <w:color w:val="000000"/>
                <w:sz w:val="20"/>
                <w:szCs w:val="20"/>
              </w:rPr>
            </w:pPr>
            <w:r>
              <w:rPr>
                <w:rFonts w:ascii="Calibri" w:hAnsi="Calibri"/>
                <w:b/>
                <w:color w:val="000000"/>
                <w:sz w:val="20"/>
                <w:szCs w:val="20"/>
              </w:rPr>
              <w:t>468.1</w:t>
            </w:r>
          </w:p>
        </w:tc>
        <w:tc>
          <w:tcPr>
            <w:tcW w:w="914" w:type="dxa"/>
            <w:tcBorders>
              <w:top w:val="nil"/>
              <w:left w:val="nil"/>
              <w:bottom w:val="single" w:sz="12" w:space="0" w:color="B4C6E7"/>
              <w:right w:val="nil"/>
            </w:tcBorders>
          </w:tcPr>
          <w:p w14:paraId="6061E159" w14:textId="5B76759D" w:rsidR="00986256" w:rsidRPr="00575663" w:rsidRDefault="0033610C" w:rsidP="00986256">
            <w:pPr>
              <w:spacing w:after="0"/>
              <w:jc w:val="center"/>
              <w:rPr>
                <w:rFonts w:ascii="Calibri" w:eastAsia="Calibri" w:hAnsi="Calibri" w:cs="Calibri"/>
                <w:color w:val="000000"/>
                <w:sz w:val="20"/>
                <w:szCs w:val="20"/>
              </w:rPr>
            </w:pPr>
            <w:r>
              <w:rPr>
                <w:rFonts w:ascii="Calibri" w:hAnsi="Calibri"/>
                <w:color w:val="000000"/>
                <w:sz w:val="20"/>
                <w:szCs w:val="20"/>
              </w:rPr>
              <w:t>9%</w:t>
            </w:r>
          </w:p>
        </w:tc>
      </w:tr>
    </w:tbl>
    <w:p w14:paraId="01F203BA" w14:textId="77777777" w:rsidR="00D27E5B" w:rsidRDefault="00D27E5B" w:rsidP="00112092">
      <w:pPr>
        <w:jc w:val="both"/>
        <w:rPr>
          <w:rFonts w:ascii="Calibri" w:eastAsia="Calibri" w:hAnsi="Calibri" w:cs="Calibri"/>
        </w:rPr>
      </w:pPr>
    </w:p>
    <w:p w14:paraId="7C695428" w14:textId="77777777" w:rsidR="00112092" w:rsidRPr="001B2F75" w:rsidRDefault="00112092" w:rsidP="00112092">
      <w:pPr>
        <w:shd w:val="clear" w:color="auto" w:fill="DEEAF6"/>
        <w:jc w:val="both"/>
        <w:rPr>
          <w:rFonts w:ascii="Montserrat" w:eastAsia="Calibri" w:hAnsi="Montserrat" w:cs="Calibri"/>
        </w:rPr>
      </w:pPr>
      <w:r>
        <w:rPr>
          <w:rFonts w:ascii="Montserrat" w:hAnsi="Montserrat"/>
          <w:b/>
          <w:bCs/>
        </w:rPr>
        <w:t>Olivier Ginon, Chairman-CEO of GL events Group, commented:</w:t>
      </w:r>
      <w:r>
        <w:rPr>
          <w:rFonts w:ascii="Montserrat" w:hAnsi="Montserrat"/>
        </w:rPr>
        <w:t xml:space="preserve"> </w:t>
      </w:r>
    </w:p>
    <w:p w14:paraId="150F9B5E" w14:textId="27C722CC" w:rsidR="00986256" w:rsidRDefault="00112092" w:rsidP="00E05455">
      <w:pPr>
        <w:shd w:val="clear" w:color="auto" w:fill="DEEAF6"/>
        <w:spacing w:afterLines="40" w:after="96" w:line="240" w:lineRule="auto"/>
        <w:jc w:val="both"/>
        <w:rPr>
          <w:rFonts w:ascii="Calibri" w:eastAsia="Calibri" w:hAnsi="Calibri" w:cs="Arial"/>
          <w:i/>
        </w:rPr>
      </w:pPr>
      <w:r>
        <w:rPr>
          <w:rFonts w:ascii="Calibri" w:hAnsi="Calibri"/>
          <w:i/>
        </w:rPr>
        <w:t xml:space="preserve">“GL events enters 2026 with strong international growth momentum, supported by the expertise of our teams operating across all continents </w:t>
      </w:r>
      <w:r w:rsidR="004F2B86">
        <w:rPr>
          <w:rFonts w:ascii="Calibri" w:hAnsi="Calibri"/>
          <w:i/>
        </w:rPr>
        <w:t>who</w:t>
      </w:r>
      <w:r>
        <w:rPr>
          <w:rFonts w:ascii="Calibri" w:hAnsi="Calibri"/>
          <w:i/>
        </w:rPr>
        <w:t xml:space="preserve"> contributed to the success of major events such as the Milano Cortina 2026 Olympic and Paralympic Games and events at the Stade de France, and</w:t>
      </w:r>
      <w:r w:rsidR="004F2B86" w:rsidRPr="004F2B86">
        <w:t xml:space="preserve"> </w:t>
      </w:r>
      <w:r w:rsidR="004F2B86" w:rsidRPr="004F2B86">
        <w:rPr>
          <w:rFonts w:ascii="Calibri" w:hAnsi="Calibri"/>
          <w:i/>
        </w:rPr>
        <w:t>who</w:t>
      </w:r>
      <w:r>
        <w:rPr>
          <w:rFonts w:ascii="Calibri" w:hAnsi="Calibri"/>
          <w:i/>
        </w:rPr>
        <w:t xml:space="preserve"> are now preparing the Aichi-Nagoya 2026 Asian and Para Asian Games. This first quarter highlights the strength of our model that combines a strong local presence with the ability to deliver high-quality services across our key international markets. This is illustrated by the services delivered and scheduled to be delivered in Baku for the World Urban Forum and in Ulaanbaatar for COP17 by our teams. </w:t>
      </w:r>
    </w:p>
    <w:p w14:paraId="450284B6" w14:textId="5E21FC35" w:rsidR="005703A8" w:rsidRDefault="00FA2502" w:rsidP="00E05455">
      <w:pPr>
        <w:shd w:val="clear" w:color="auto" w:fill="DEEAF6"/>
        <w:spacing w:afterLines="40" w:after="96" w:line="240" w:lineRule="auto"/>
        <w:jc w:val="both"/>
        <w:rPr>
          <w:rFonts w:ascii="Calibri" w:eastAsia="Calibri" w:hAnsi="Calibri" w:cs="Arial"/>
          <w:i/>
        </w:rPr>
      </w:pPr>
      <w:r>
        <w:rPr>
          <w:rFonts w:ascii="Calibri" w:hAnsi="Calibri"/>
          <w:i/>
        </w:rPr>
        <w:t xml:space="preserve">Following this strong start to the year and supported by a robust pipeline, we confirm our 2026 targets for </w:t>
      </w:r>
      <w:r w:rsidR="007079CA">
        <w:rPr>
          <w:rFonts w:ascii="Calibri" w:hAnsi="Calibri"/>
          <w:i/>
        </w:rPr>
        <w:t>growth in revenue of more</w:t>
      </w:r>
      <w:r>
        <w:rPr>
          <w:rFonts w:ascii="Calibri" w:hAnsi="Calibri"/>
          <w:i/>
        </w:rPr>
        <w:t xml:space="preserve"> than 8%</w:t>
      </w:r>
      <w:r w:rsidR="007079CA">
        <w:rPr>
          <w:rFonts w:ascii="Calibri" w:hAnsi="Calibri"/>
          <w:i/>
        </w:rPr>
        <w:t xml:space="preserve"> like-for-like</w:t>
      </w:r>
      <w:r w:rsidR="007079CA" w:rsidRPr="007079CA">
        <w:rPr>
          <w:rFonts w:ascii="Calibri" w:hAnsi="Calibri"/>
          <w:i/>
        </w:rPr>
        <w:fldChar w:fldCharType="begin"/>
      </w:r>
      <w:r w:rsidR="007079CA" w:rsidRPr="007079CA">
        <w:rPr>
          <w:rFonts w:ascii="Calibri" w:hAnsi="Calibri"/>
          <w:i/>
        </w:rPr>
        <w:instrText xml:space="preserve"> NOTEREF _Ref226626836 \f \h </w:instrText>
      </w:r>
      <w:r w:rsidR="007079CA" w:rsidRPr="007079CA">
        <w:rPr>
          <w:rFonts w:ascii="Calibri" w:hAnsi="Calibri"/>
          <w:i/>
        </w:rPr>
      </w:r>
      <w:r w:rsidR="007079CA" w:rsidRPr="007079CA">
        <w:rPr>
          <w:rFonts w:ascii="Calibri" w:hAnsi="Calibri"/>
          <w:i/>
        </w:rPr>
        <w:fldChar w:fldCharType="separate"/>
      </w:r>
      <w:r w:rsidR="007079CA" w:rsidRPr="007079CA">
        <w:rPr>
          <w:rFonts w:ascii="Calibri" w:hAnsi="Calibri"/>
          <w:i/>
          <w:vertAlign w:val="superscript"/>
        </w:rPr>
        <w:t>1</w:t>
      </w:r>
      <w:r w:rsidR="007079CA" w:rsidRPr="007079CA">
        <w:rPr>
          <w:rFonts w:ascii="Calibri" w:hAnsi="Calibri"/>
          <w:i/>
        </w:rPr>
        <w:fldChar w:fldCharType="end"/>
      </w:r>
      <w:r>
        <w:rPr>
          <w:rFonts w:ascii="Calibri" w:hAnsi="Calibri"/>
          <w:i/>
        </w:rPr>
        <w:t>, higher operating inc</w:t>
      </w:r>
      <w:r w:rsidR="003C2DA3">
        <w:rPr>
          <w:rFonts w:ascii="Calibri" w:hAnsi="Calibri"/>
          <w:i/>
        </w:rPr>
        <w:t>ome and continued deleveraging.</w:t>
      </w:r>
    </w:p>
    <w:p w14:paraId="0339B218" w14:textId="77777777" w:rsidR="00E05455" w:rsidRDefault="005703A8" w:rsidP="00E05455">
      <w:pPr>
        <w:shd w:val="clear" w:color="auto" w:fill="DEEAF6"/>
        <w:spacing w:afterLines="40" w:after="96" w:line="240" w:lineRule="auto"/>
        <w:jc w:val="both"/>
        <w:rPr>
          <w:rFonts w:ascii="Calibri" w:eastAsia="Calibri" w:hAnsi="Calibri" w:cs="Arial"/>
          <w:i/>
        </w:rPr>
      </w:pPr>
      <w:r>
        <w:rPr>
          <w:rFonts w:ascii="Calibri" w:hAnsi="Calibri"/>
          <w:i/>
        </w:rPr>
        <w:t xml:space="preserve">We have completed the acquisition of the S-Pass live entertainment venue network in the regions and Salle Pleyel in Paris from </w:t>
      </w:r>
      <w:proofErr w:type="spellStart"/>
      <w:r>
        <w:rPr>
          <w:rFonts w:ascii="Calibri" w:hAnsi="Calibri"/>
          <w:i/>
        </w:rPr>
        <w:t>Fimalac</w:t>
      </w:r>
      <w:proofErr w:type="spellEnd"/>
      <w:r>
        <w:rPr>
          <w:rFonts w:ascii="Calibri" w:hAnsi="Calibri"/>
          <w:i/>
        </w:rPr>
        <w:t xml:space="preserve">. We welcome the teams and will continue to develop these venues and their programming in support of local ecosystems and stakeholders. </w:t>
      </w:r>
    </w:p>
    <w:p w14:paraId="1DDFA729" w14:textId="2A42FF10" w:rsidR="00D068F1" w:rsidRDefault="00960E7E" w:rsidP="00E05455">
      <w:pPr>
        <w:shd w:val="clear" w:color="auto" w:fill="DEEAF6"/>
        <w:spacing w:afterLines="40" w:after="96" w:line="240" w:lineRule="auto"/>
        <w:jc w:val="both"/>
        <w:rPr>
          <w:rFonts w:ascii="Calibri" w:eastAsia="Calibri" w:hAnsi="Calibri" w:cs="Arial"/>
          <w:i/>
        </w:rPr>
      </w:pPr>
      <w:r>
        <w:rPr>
          <w:rFonts w:ascii="Calibri" w:hAnsi="Calibri"/>
          <w:i/>
        </w:rPr>
        <w:t>In a still uncertain geopolitical environment requiring a cautious approach, our diversified footprint is a key strength. Backed by strong fundamentals and the continued dedication of our teams worldwide, we app</w:t>
      </w:r>
      <w:r w:rsidR="007079CA">
        <w:rPr>
          <w:rFonts w:ascii="Calibri" w:hAnsi="Calibri"/>
          <w:i/>
        </w:rPr>
        <w:t>roach the year with confidence.</w:t>
      </w:r>
      <w:r>
        <w:rPr>
          <w:rFonts w:ascii="Calibri" w:hAnsi="Calibri"/>
          <w:i/>
        </w:rPr>
        <w:t>”</w:t>
      </w:r>
    </w:p>
    <w:p w14:paraId="6D8C0B99" w14:textId="60F93AAC" w:rsidR="00E02BB6" w:rsidRDefault="00112092" w:rsidP="00112092">
      <w:pPr>
        <w:jc w:val="both"/>
        <w:rPr>
          <w:rFonts w:ascii="Calibri" w:eastAsia="Calibri" w:hAnsi="Calibri" w:cs="Arial"/>
        </w:rPr>
      </w:pPr>
      <w:r>
        <w:rPr>
          <w:rFonts w:ascii="Calibri" w:hAnsi="Calibri"/>
        </w:rPr>
        <w:t>GL events reported Q1 2026 revenue of €468.1 million, up 8.9% compared with Q1 2025 and 9.4% like-for-like.</w:t>
      </w:r>
      <w:r w:rsidR="00FA4CDE">
        <w:rPr>
          <w:rFonts w:ascii="Calibri" w:eastAsia="Calibri" w:hAnsi="Calibri" w:cs="Arial"/>
        </w:rPr>
        <w:fldChar w:fldCharType="begin"/>
      </w:r>
      <w:r w:rsidR="00FA4CDE">
        <w:rPr>
          <w:rFonts w:ascii="Calibri" w:eastAsia="Calibri" w:hAnsi="Calibri" w:cs="Arial"/>
        </w:rPr>
        <w:instrText xml:space="preserve"> NOTEREF _Ref226626836 \f \h </w:instrText>
      </w:r>
      <w:r w:rsidR="00FA4CDE">
        <w:rPr>
          <w:rFonts w:ascii="Calibri" w:eastAsia="Calibri" w:hAnsi="Calibri" w:cs="Arial"/>
        </w:rPr>
      </w:r>
      <w:r w:rsidR="00FA4CDE">
        <w:rPr>
          <w:rFonts w:ascii="Calibri" w:eastAsia="Calibri" w:hAnsi="Calibri" w:cs="Arial"/>
        </w:rPr>
        <w:fldChar w:fldCharType="separate"/>
      </w:r>
      <w:r w:rsidR="00FA4CDE" w:rsidRPr="00FA4CDE">
        <w:rPr>
          <w:rStyle w:val="Appelnotedebasdep"/>
        </w:rPr>
        <w:t>1</w:t>
      </w:r>
      <w:r w:rsidR="00FA4CDE">
        <w:rPr>
          <w:rFonts w:ascii="Calibri" w:eastAsia="Calibri" w:hAnsi="Calibri" w:cs="Arial"/>
        </w:rPr>
        <w:fldChar w:fldCharType="end"/>
      </w:r>
      <w:r>
        <w:rPr>
          <w:rFonts w:ascii="Calibri" w:hAnsi="Calibri"/>
        </w:rPr>
        <w:t xml:space="preserve"> International activity accounted for 51% of revenue in Q1 2026, compared with 49% in the same period of 2025. </w:t>
      </w:r>
    </w:p>
    <w:p w14:paraId="5D05A3F9" w14:textId="77777777" w:rsidR="001260E9" w:rsidRDefault="001260E9" w:rsidP="00112092">
      <w:pPr>
        <w:jc w:val="both"/>
        <w:rPr>
          <w:rFonts w:ascii="Calibri" w:eastAsia="Calibri" w:hAnsi="Calibri" w:cs="Arial"/>
        </w:rPr>
      </w:pPr>
    </w:p>
    <w:p w14:paraId="3FFD68F8" w14:textId="77777777" w:rsidR="00112092" w:rsidRPr="00112092" w:rsidRDefault="00112092" w:rsidP="00112092">
      <w:pPr>
        <w:shd w:val="clear" w:color="auto" w:fill="DEEAF6"/>
        <w:jc w:val="center"/>
        <w:rPr>
          <w:rFonts w:ascii="Montserrat" w:eastAsia="Calibri" w:hAnsi="Montserrat" w:cs="Calibri"/>
          <w:b/>
          <w:bCs/>
        </w:rPr>
      </w:pPr>
      <w:r>
        <w:rPr>
          <w:rFonts w:ascii="Montserrat" w:hAnsi="Montserrat"/>
          <w:b/>
          <w:bCs/>
        </w:rPr>
        <w:t>REVENUE BY DIVISION</w:t>
      </w:r>
    </w:p>
    <w:p w14:paraId="3D35278F" w14:textId="5E88B66A" w:rsidR="00F036C7" w:rsidRDefault="00112092" w:rsidP="000D32C4">
      <w:pPr>
        <w:spacing w:line="240" w:lineRule="auto"/>
        <w:jc w:val="both"/>
        <w:rPr>
          <w:rFonts w:ascii="Calibri" w:eastAsia="Calibri" w:hAnsi="Calibri" w:cs="Calibri"/>
        </w:rPr>
      </w:pPr>
      <w:r>
        <w:rPr>
          <w:rFonts w:ascii="Calibri" w:hAnsi="Calibri"/>
          <w:b/>
        </w:rPr>
        <w:t>GL EVENTS LIVE</w:t>
      </w:r>
      <w:r>
        <w:rPr>
          <w:rFonts w:ascii="Calibri" w:hAnsi="Calibri"/>
        </w:rPr>
        <w:t xml:space="preserve"> reported growth of 28.7% to €251.5m, up from €195.5m in Q1 2025</w:t>
      </w:r>
      <w:r w:rsidR="00A14E25">
        <w:rPr>
          <w:rFonts w:ascii="Calibri" w:hAnsi="Calibri"/>
        </w:rPr>
        <w:t xml:space="preserve"> (+31.0% like-for-like</w:t>
      </w:r>
      <w:r w:rsidR="00FA4CDE">
        <w:rPr>
          <w:rFonts w:ascii="Calibri" w:eastAsia="Calibri" w:hAnsi="Calibri" w:cs="Calibri"/>
        </w:rPr>
        <w:fldChar w:fldCharType="begin"/>
      </w:r>
      <w:r w:rsidR="00FA4CDE">
        <w:rPr>
          <w:rFonts w:ascii="Calibri" w:eastAsia="Calibri" w:hAnsi="Calibri" w:cs="Calibri"/>
        </w:rPr>
        <w:instrText xml:space="preserve"> NOTEREF _Ref226626836 \f \h </w:instrText>
      </w:r>
      <w:r w:rsidR="00FA4CDE">
        <w:rPr>
          <w:rFonts w:ascii="Calibri" w:eastAsia="Calibri" w:hAnsi="Calibri" w:cs="Calibri"/>
        </w:rPr>
      </w:r>
      <w:r w:rsidR="00FA4CDE">
        <w:rPr>
          <w:rFonts w:ascii="Calibri" w:eastAsia="Calibri" w:hAnsi="Calibri" w:cs="Calibri"/>
        </w:rPr>
        <w:fldChar w:fldCharType="separate"/>
      </w:r>
      <w:r w:rsidR="00FA4CDE" w:rsidRPr="00FA4CDE">
        <w:rPr>
          <w:rStyle w:val="Appelnotedebasdep"/>
        </w:rPr>
        <w:t>1</w:t>
      </w:r>
      <w:r w:rsidR="00FA4CDE">
        <w:rPr>
          <w:rFonts w:ascii="Calibri" w:eastAsia="Calibri" w:hAnsi="Calibri" w:cs="Calibri"/>
        </w:rPr>
        <w:fldChar w:fldCharType="end"/>
      </w:r>
      <w:r w:rsidR="00A14E25">
        <w:t>)</w:t>
      </w:r>
    </w:p>
    <w:p w14:paraId="1984933F" w14:textId="71AE82A4" w:rsidR="00E23400" w:rsidRPr="00E23400" w:rsidRDefault="000D32C4" w:rsidP="000D32C4">
      <w:pPr>
        <w:spacing w:line="240" w:lineRule="auto"/>
        <w:jc w:val="both"/>
        <w:rPr>
          <w:rFonts w:ascii="Calibri" w:eastAsia="Calibri" w:hAnsi="Calibri" w:cs="Calibri"/>
        </w:rPr>
      </w:pPr>
      <w:r>
        <w:rPr>
          <w:rFonts w:ascii="Calibri" w:hAnsi="Calibri"/>
        </w:rPr>
        <w:t>This performance reflects the successful delivery of major international events, including the Milano Cortina 2026 Olympic and Paralympic Games in February, as well as ongoing preparations for the Aichi-Nagoya Asian Games scheduled for September and October 2026. In France, GL events Live confirmed the strength and diversity of its business model</w:t>
      </w:r>
      <w:r w:rsidR="00A14E25">
        <w:rPr>
          <w:rFonts w:ascii="Calibri" w:hAnsi="Calibri"/>
        </w:rPr>
        <w:t xml:space="preserve"> supported by a </w:t>
      </w:r>
      <w:r>
        <w:rPr>
          <w:rFonts w:ascii="Calibri" w:hAnsi="Calibri"/>
        </w:rPr>
        <w:t xml:space="preserve">balanced portfolio of leading events. The division delivered services for exhibitions shows such as Maison &amp; </w:t>
      </w:r>
      <w:proofErr w:type="spellStart"/>
      <w:r>
        <w:rPr>
          <w:rFonts w:ascii="Calibri" w:hAnsi="Calibri"/>
        </w:rPr>
        <w:t>Objet</w:t>
      </w:r>
      <w:proofErr w:type="spellEnd"/>
      <w:r>
        <w:rPr>
          <w:rFonts w:ascii="Calibri" w:hAnsi="Calibri"/>
        </w:rPr>
        <w:t xml:space="preserve">, MIPIM, the International Agricultural Show and Wine Paris </w:t>
      </w:r>
      <w:proofErr w:type="spellStart"/>
      <w:r>
        <w:rPr>
          <w:rFonts w:ascii="Calibri" w:hAnsi="Calibri"/>
        </w:rPr>
        <w:t>Vinexpo</w:t>
      </w:r>
      <w:proofErr w:type="spellEnd"/>
      <w:r>
        <w:rPr>
          <w:rFonts w:ascii="Calibri" w:hAnsi="Calibri"/>
        </w:rPr>
        <w:t xml:space="preserve">. It also delivered high-end services for leading luxury brands, including the Louis Vuitton Men’s and Women’s Fall-Winter shows, the Christian Dior Men’s and Women’s Winter shows and the Saut Hermès. Internationally, GL events Live continued to grow its presence across high-potential markets, including Goiânia for the MotoGP Brazil, Shenzhen for the Automotive Aftermarket Industry and Tuning Trade Fair and Riyadh for the AFC U23 Asian Cup. </w:t>
      </w:r>
    </w:p>
    <w:p w14:paraId="5FF212A3" w14:textId="57BC00CC" w:rsidR="00280844" w:rsidRDefault="00112092" w:rsidP="00112092">
      <w:pPr>
        <w:jc w:val="both"/>
        <w:rPr>
          <w:rFonts w:ascii="Calibri" w:eastAsia="Calibri" w:hAnsi="Calibri" w:cs="Calibri"/>
        </w:rPr>
      </w:pPr>
      <w:r>
        <w:rPr>
          <w:rFonts w:ascii="Calibri" w:hAnsi="Calibri"/>
          <w:b/>
        </w:rPr>
        <w:t>GL events Exhibitions</w:t>
      </w:r>
      <w:r>
        <w:rPr>
          <w:rFonts w:ascii="Calibri" w:hAnsi="Calibri"/>
        </w:rPr>
        <w:t xml:space="preserve"> reported Q1 2026 revenue of €93.7 million, reflecting an unfavourable biennial effect, down 24.0% compared with Q1 2025 and 24.1% on a like-for-like basis.</w:t>
      </w:r>
      <w:r w:rsidR="00FA4CDE" w:rsidRPr="00017528">
        <w:rPr>
          <w:rFonts w:ascii="Calibri" w:eastAsia="Calibri" w:hAnsi="Calibri" w:cs="Calibri"/>
          <w:vertAlign w:val="superscript"/>
        </w:rPr>
        <w:fldChar w:fldCharType="begin"/>
      </w:r>
      <w:r w:rsidR="00FA4CDE" w:rsidRPr="00017528">
        <w:rPr>
          <w:rFonts w:ascii="Calibri" w:eastAsia="Calibri" w:hAnsi="Calibri" w:cs="Calibri"/>
        </w:rPr>
        <w:instrText xml:space="preserve"> NOTEREF _Ref226626836 \f \h </w:instrText>
      </w:r>
      <w:r w:rsidR="00797D64" w:rsidRPr="00017528">
        <w:rPr>
          <w:rFonts w:ascii="Calibri" w:eastAsia="Calibri" w:hAnsi="Calibri" w:cs="Calibri"/>
          <w:vertAlign w:val="superscript"/>
        </w:rPr>
        <w:instrText xml:space="preserve"> \* MERGEFORMAT </w:instrText>
      </w:r>
      <w:r w:rsidR="00FA4CDE" w:rsidRPr="00017528">
        <w:rPr>
          <w:rFonts w:ascii="Calibri" w:eastAsia="Calibri" w:hAnsi="Calibri" w:cs="Calibri"/>
          <w:vertAlign w:val="superscript"/>
        </w:rPr>
      </w:r>
      <w:r w:rsidR="00FA4CDE" w:rsidRPr="00017528">
        <w:rPr>
          <w:rFonts w:ascii="Calibri" w:eastAsia="Calibri" w:hAnsi="Calibri" w:cs="Calibri"/>
          <w:vertAlign w:val="superscript"/>
        </w:rPr>
        <w:fldChar w:fldCharType="separate"/>
      </w:r>
      <w:r w:rsidR="00FA4CDE" w:rsidRPr="00017528">
        <w:rPr>
          <w:rStyle w:val="Appelnotedebasdep"/>
        </w:rPr>
        <w:t>1</w:t>
      </w:r>
      <w:r w:rsidR="00FA4CDE" w:rsidRPr="00017528">
        <w:rPr>
          <w:rFonts w:ascii="Calibri" w:eastAsia="Calibri" w:hAnsi="Calibri" w:cs="Calibri"/>
          <w:vertAlign w:val="superscript"/>
        </w:rPr>
        <w:fldChar w:fldCharType="end"/>
      </w:r>
      <w:r>
        <w:rPr>
          <w:rFonts w:ascii="Calibri" w:hAnsi="Calibri"/>
        </w:rPr>
        <w:t xml:space="preserve">. </w:t>
      </w:r>
    </w:p>
    <w:p w14:paraId="6D4F9C1C" w14:textId="7220F747" w:rsidR="00A312F6" w:rsidRPr="005944FA" w:rsidRDefault="005944FA" w:rsidP="00112092">
      <w:pPr>
        <w:jc w:val="both"/>
        <w:rPr>
          <w:rFonts w:ascii="Calibri" w:eastAsia="Calibri" w:hAnsi="Calibri" w:cs="Calibri"/>
        </w:rPr>
      </w:pPr>
      <w:r>
        <w:rPr>
          <w:rFonts w:ascii="Calibri" w:hAnsi="Calibri"/>
        </w:rPr>
        <w:t xml:space="preserve">Despite the decline in revenue in Q1 2026, the division remained resilient and maintained its strategic positioning, supported by a diversified event calendar. In France, activity was driven by major events such as Première Vision Paris, SIRHA Bake &amp; Snack, Global Industrie Paris, the Lyon International Fair, CFIA Rennes, </w:t>
      </w:r>
      <w:proofErr w:type="spellStart"/>
      <w:r>
        <w:rPr>
          <w:rFonts w:ascii="Calibri" w:hAnsi="Calibri"/>
        </w:rPr>
        <w:t>Eurobois</w:t>
      </w:r>
      <w:proofErr w:type="spellEnd"/>
      <w:r>
        <w:rPr>
          <w:rFonts w:ascii="Calibri" w:hAnsi="Calibri"/>
        </w:rPr>
        <w:t xml:space="preserve"> Lyon and the Bocuse d’Or Europe in Marseille, confirming the Group’s presence in its key markets. Internationally, the division continued to grow, supported in particular by strong performance at </w:t>
      </w:r>
      <w:proofErr w:type="spellStart"/>
      <w:r>
        <w:rPr>
          <w:rFonts w:ascii="Calibri" w:hAnsi="Calibri"/>
        </w:rPr>
        <w:t>Aquasur</w:t>
      </w:r>
      <w:proofErr w:type="spellEnd"/>
      <w:r>
        <w:rPr>
          <w:rFonts w:ascii="Calibri" w:hAnsi="Calibri"/>
        </w:rPr>
        <w:t xml:space="preserve"> in Chile and the success of Première Vision New York, reflecting the Group’s ability to expand its footprint in strategic markets despite a demanding environment.</w:t>
      </w:r>
    </w:p>
    <w:p w14:paraId="59C3017C" w14:textId="1105A174" w:rsidR="00C4337F" w:rsidRDefault="00112092" w:rsidP="00112092">
      <w:pPr>
        <w:jc w:val="both"/>
        <w:rPr>
          <w:rFonts w:ascii="Calibri" w:eastAsia="Calibri" w:hAnsi="Calibri" w:cs="Arial"/>
        </w:rPr>
      </w:pPr>
      <w:r>
        <w:rPr>
          <w:rFonts w:ascii="Calibri" w:hAnsi="Calibri"/>
          <w:b/>
        </w:rPr>
        <w:t>GL EVENTS VENUES</w:t>
      </w:r>
      <w:r>
        <w:rPr>
          <w:rFonts w:ascii="Calibri" w:hAnsi="Calibri"/>
        </w:rPr>
        <w:t xml:space="preserve"> reported Q1 2026 revenue of €122.8 million, up 10.4% compared with Q1 2025 and up 9.4% like-for-like.</w:t>
      </w:r>
      <w:r w:rsidR="00FA4CDE">
        <w:rPr>
          <w:rFonts w:ascii="Calibri" w:eastAsia="Calibri" w:hAnsi="Calibri" w:cs="Arial"/>
          <w:vertAlign w:val="superscript"/>
        </w:rPr>
        <w:fldChar w:fldCharType="begin"/>
      </w:r>
      <w:r w:rsidR="00FA4CDE">
        <w:rPr>
          <w:rFonts w:ascii="Calibri" w:eastAsia="Calibri" w:hAnsi="Calibri" w:cs="Arial"/>
        </w:rPr>
        <w:instrText xml:space="preserve"> NOTEREF _Ref226626836 \f \h </w:instrText>
      </w:r>
      <w:r w:rsidR="00FA4CDE">
        <w:rPr>
          <w:rFonts w:ascii="Calibri" w:eastAsia="Calibri" w:hAnsi="Calibri" w:cs="Arial"/>
          <w:vertAlign w:val="superscript"/>
        </w:rPr>
      </w:r>
      <w:r w:rsidR="00FA4CDE">
        <w:rPr>
          <w:rFonts w:ascii="Calibri" w:eastAsia="Calibri" w:hAnsi="Calibri" w:cs="Arial"/>
          <w:vertAlign w:val="superscript"/>
        </w:rPr>
        <w:fldChar w:fldCharType="separate"/>
      </w:r>
      <w:r w:rsidR="00FA4CDE" w:rsidRPr="00FA4CDE">
        <w:rPr>
          <w:rStyle w:val="Appelnotedebasdep"/>
        </w:rPr>
        <w:t>1</w:t>
      </w:r>
      <w:r w:rsidR="00FA4CDE">
        <w:rPr>
          <w:rFonts w:ascii="Calibri" w:eastAsia="Calibri" w:hAnsi="Calibri" w:cs="Arial"/>
          <w:vertAlign w:val="superscript"/>
        </w:rPr>
        <w:fldChar w:fldCharType="end"/>
      </w:r>
      <w:r>
        <w:rPr>
          <w:rFonts w:ascii="Calibri" w:hAnsi="Calibri"/>
        </w:rPr>
        <w:t xml:space="preserve">. </w:t>
      </w:r>
    </w:p>
    <w:p w14:paraId="73C3E4A0" w14:textId="0A5C57E9" w:rsidR="00445D9C" w:rsidRDefault="0062646A" w:rsidP="00112092">
      <w:pPr>
        <w:jc w:val="both"/>
        <w:rPr>
          <w:rFonts w:ascii="Calibri" w:eastAsia="Calibri" w:hAnsi="Calibri" w:cs="Arial"/>
        </w:rPr>
      </w:pPr>
      <w:r>
        <w:rPr>
          <w:rFonts w:ascii="Calibri" w:hAnsi="Calibri"/>
        </w:rPr>
        <w:t>In France, growth was driven</w:t>
      </w:r>
      <w:r w:rsidR="00CE69C4">
        <w:rPr>
          <w:rFonts w:ascii="Calibri" w:hAnsi="Calibri"/>
        </w:rPr>
        <w:t xml:space="preserve"> by </w:t>
      </w:r>
      <w:r>
        <w:rPr>
          <w:rFonts w:ascii="Calibri" w:hAnsi="Calibri"/>
        </w:rPr>
        <w:t>the continuing integration of the Stade de France, supported by the success of the Six Nations matches and strong momentum in the regions (Toulouse, Clermont-Ferrand, Strasbourg and Marseille). Internationally, growth was supported by a dense event calendar in Budapest (</w:t>
      </w:r>
      <w:proofErr w:type="spellStart"/>
      <w:r>
        <w:rPr>
          <w:rFonts w:ascii="Calibri" w:hAnsi="Calibri"/>
        </w:rPr>
        <w:t>Agromash</w:t>
      </w:r>
      <w:proofErr w:type="spellEnd"/>
      <w:r>
        <w:rPr>
          <w:rFonts w:ascii="Calibri" w:hAnsi="Calibri"/>
        </w:rPr>
        <w:t xml:space="preserve"> Expo, SIRHA Budapest and </w:t>
      </w:r>
      <w:proofErr w:type="spellStart"/>
      <w:r>
        <w:rPr>
          <w:rFonts w:ascii="Calibri" w:hAnsi="Calibri"/>
        </w:rPr>
        <w:t>FeHoVa</w:t>
      </w:r>
      <w:proofErr w:type="spellEnd"/>
      <w:r>
        <w:rPr>
          <w:rFonts w:ascii="Calibri" w:hAnsi="Calibri"/>
        </w:rPr>
        <w:t>) and sustained activity levels in South America (Chile and Brazil).</w:t>
      </w:r>
    </w:p>
    <w:p w14:paraId="230B9E90" w14:textId="77777777" w:rsidR="00445D9C" w:rsidRDefault="00445D9C">
      <w:pPr>
        <w:spacing w:line="278" w:lineRule="auto"/>
        <w:rPr>
          <w:rFonts w:ascii="Calibri" w:eastAsia="Calibri" w:hAnsi="Calibri" w:cs="Arial"/>
        </w:rPr>
      </w:pPr>
      <w:r>
        <w:br w:type="page"/>
      </w:r>
    </w:p>
    <w:p w14:paraId="7E7F76E6" w14:textId="1378BCF3" w:rsidR="00986256" w:rsidRPr="00986256" w:rsidRDefault="00AF6BB2" w:rsidP="00986256">
      <w:pPr>
        <w:shd w:val="clear" w:color="auto" w:fill="DEEAF6"/>
        <w:spacing w:line="256" w:lineRule="auto"/>
        <w:jc w:val="center"/>
        <w:rPr>
          <w:rFonts w:ascii="Montserrat" w:eastAsia="Calibri" w:hAnsi="Montserrat" w:cs="Calibri"/>
          <w:b/>
          <w:bCs/>
        </w:rPr>
      </w:pPr>
      <w:r>
        <w:rPr>
          <w:rFonts w:ascii="Montserrat" w:hAnsi="Montserrat"/>
          <w:b/>
          <w:bCs/>
        </w:rPr>
        <w:lastRenderedPageBreak/>
        <w:t>CONFIRMATION OF 2026 TARGETS</w:t>
      </w:r>
    </w:p>
    <w:p w14:paraId="7B015CB9" w14:textId="77777777" w:rsidR="00986256" w:rsidRPr="00986256" w:rsidRDefault="00986256" w:rsidP="00986256">
      <w:pPr>
        <w:spacing w:line="256" w:lineRule="auto"/>
        <w:jc w:val="both"/>
        <w:rPr>
          <w:rFonts w:ascii="Calibri" w:eastAsia="Calibri" w:hAnsi="Calibri" w:cs="Calibri"/>
        </w:rPr>
      </w:pPr>
      <w:r>
        <w:rPr>
          <w:rFonts w:ascii="Calibri" w:hAnsi="Calibri"/>
        </w:rPr>
        <w:t xml:space="preserve">Despite an ongoing uncertain geopolitical environment, GL events expects a further year of growth, driven by GL events Live and GL events Venues: </w:t>
      </w:r>
    </w:p>
    <w:p w14:paraId="7E4F191E" w14:textId="0679D2DE" w:rsidR="00986256" w:rsidRPr="00986256" w:rsidRDefault="00986256" w:rsidP="00986256">
      <w:pPr>
        <w:numPr>
          <w:ilvl w:val="0"/>
          <w:numId w:val="6"/>
        </w:numPr>
        <w:spacing w:line="256" w:lineRule="auto"/>
        <w:contextualSpacing/>
        <w:jc w:val="both"/>
        <w:rPr>
          <w:rFonts w:ascii="Calibri" w:eastAsia="Calibri" w:hAnsi="Calibri" w:cs="Calibri"/>
        </w:rPr>
      </w:pPr>
      <w:r>
        <w:rPr>
          <w:rFonts w:ascii="Calibri" w:hAnsi="Calibri"/>
        </w:rPr>
        <w:t>Revenue growth of more than 8% like-for-like;</w:t>
      </w:r>
    </w:p>
    <w:p w14:paraId="3B83941A" w14:textId="77777777" w:rsidR="00986256" w:rsidRPr="00986256" w:rsidRDefault="00986256" w:rsidP="00986256">
      <w:pPr>
        <w:numPr>
          <w:ilvl w:val="0"/>
          <w:numId w:val="6"/>
        </w:numPr>
        <w:spacing w:line="256" w:lineRule="auto"/>
        <w:contextualSpacing/>
        <w:jc w:val="both"/>
        <w:rPr>
          <w:rFonts w:ascii="Calibri" w:eastAsia="Calibri" w:hAnsi="Calibri" w:cs="Calibri"/>
        </w:rPr>
      </w:pPr>
      <w:r>
        <w:rPr>
          <w:rFonts w:ascii="Calibri" w:hAnsi="Calibri"/>
        </w:rPr>
        <w:t xml:space="preserve">Growth in current operating income; </w:t>
      </w:r>
    </w:p>
    <w:p w14:paraId="41D57B31" w14:textId="77777777" w:rsidR="00986256" w:rsidRDefault="00986256" w:rsidP="00986256">
      <w:pPr>
        <w:numPr>
          <w:ilvl w:val="0"/>
          <w:numId w:val="6"/>
        </w:numPr>
        <w:spacing w:line="256" w:lineRule="auto"/>
        <w:contextualSpacing/>
        <w:jc w:val="both"/>
        <w:rPr>
          <w:rFonts w:ascii="Calibri" w:eastAsia="Calibri" w:hAnsi="Calibri" w:cs="Calibri"/>
        </w:rPr>
      </w:pPr>
      <w:r>
        <w:rPr>
          <w:rFonts w:ascii="Calibri" w:hAnsi="Calibri"/>
        </w:rPr>
        <w:t>A CAPEX programme of around €80m.</w:t>
      </w:r>
    </w:p>
    <w:p w14:paraId="5DA4DC2E" w14:textId="77777777" w:rsidR="0033188A" w:rsidRPr="00986256" w:rsidRDefault="0033188A" w:rsidP="0033188A">
      <w:pPr>
        <w:spacing w:line="256" w:lineRule="auto"/>
        <w:ind w:left="720"/>
        <w:contextualSpacing/>
        <w:jc w:val="both"/>
        <w:rPr>
          <w:rFonts w:ascii="Calibri" w:eastAsia="Calibri" w:hAnsi="Calibri" w:cs="Calibri"/>
        </w:rPr>
      </w:pPr>
    </w:p>
    <w:p w14:paraId="2810DDBC" w14:textId="56306F23" w:rsidR="00AB6A0E" w:rsidRDefault="00986256" w:rsidP="004D1681">
      <w:pPr>
        <w:spacing w:line="256" w:lineRule="auto"/>
        <w:jc w:val="both"/>
        <w:rPr>
          <w:rFonts w:ascii="Calibri" w:eastAsia="Calibri" w:hAnsi="Calibri" w:cs="Arial"/>
        </w:rPr>
      </w:pPr>
      <w:r>
        <w:rPr>
          <w:rFonts w:ascii="Calibri" w:hAnsi="Calibri"/>
        </w:rPr>
        <w:t>Excluding acquisitions currently under review or in the process of completion, net debt is expected to decline slightly further, with continued improvement in financial ratios.</w:t>
      </w:r>
    </w:p>
    <w:p w14:paraId="29733F00" w14:textId="77777777" w:rsidR="003278AD" w:rsidRDefault="003278AD" w:rsidP="004D1681">
      <w:pPr>
        <w:spacing w:line="256" w:lineRule="auto"/>
        <w:jc w:val="both"/>
        <w:rPr>
          <w:rFonts w:ascii="Calibri" w:eastAsia="Calibri" w:hAnsi="Calibri" w:cs="Arial"/>
        </w:rPr>
      </w:pPr>
    </w:p>
    <w:p w14:paraId="0FEF514B" w14:textId="23B34E90" w:rsidR="00782CAA" w:rsidRPr="00986256" w:rsidRDefault="00782CAA" w:rsidP="00782CAA">
      <w:pPr>
        <w:shd w:val="clear" w:color="auto" w:fill="DEEAF6"/>
        <w:spacing w:line="256" w:lineRule="auto"/>
        <w:jc w:val="center"/>
        <w:rPr>
          <w:rFonts w:ascii="Montserrat" w:eastAsia="Calibri" w:hAnsi="Montserrat" w:cs="Calibri"/>
          <w:b/>
          <w:bCs/>
        </w:rPr>
      </w:pPr>
      <w:r>
        <w:rPr>
          <w:rFonts w:ascii="Montserrat" w:hAnsi="Montserrat"/>
          <w:b/>
          <w:bCs/>
        </w:rPr>
        <w:t>EXTERNAL GROWTH</w:t>
      </w:r>
    </w:p>
    <w:p w14:paraId="2BF8CECB" w14:textId="384F8408" w:rsidR="00803589" w:rsidRDefault="00FD26CE" w:rsidP="004D1681">
      <w:pPr>
        <w:spacing w:line="256" w:lineRule="auto"/>
        <w:jc w:val="both"/>
        <w:rPr>
          <w:rFonts w:ascii="Calibri" w:eastAsia="Calibri" w:hAnsi="Calibri" w:cs="Calibri"/>
        </w:rPr>
      </w:pPr>
      <w:r>
        <w:rPr>
          <w:rFonts w:ascii="Calibri" w:hAnsi="Calibri"/>
        </w:rPr>
        <w:t xml:space="preserve">GL events has completed the acquisition from </w:t>
      </w:r>
      <w:proofErr w:type="spellStart"/>
      <w:r>
        <w:rPr>
          <w:rFonts w:ascii="Calibri" w:hAnsi="Calibri"/>
        </w:rPr>
        <w:t>Fimalac</w:t>
      </w:r>
      <w:proofErr w:type="spellEnd"/>
      <w:r>
        <w:rPr>
          <w:rFonts w:ascii="Calibri" w:hAnsi="Calibri"/>
        </w:rPr>
        <w:t xml:space="preserve"> of all 23 regional event venues operated by the S-Pass network, as well as Salle Pleyel, a landmark concert and performance venue in Paris. This acquisition reflects GL events’ ambition to build a leading cultural network in France, capable of structuring an integrated offering across the entire value chain of the sector and supporting high-quality, diverse and rich programming in line with local cultural policies.</w:t>
      </w:r>
    </w:p>
    <w:p w14:paraId="7C73FC49" w14:textId="77777777" w:rsidR="00D36435" w:rsidRDefault="00D36435" w:rsidP="004D1681">
      <w:pPr>
        <w:spacing w:line="256" w:lineRule="auto"/>
        <w:jc w:val="both"/>
        <w:rPr>
          <w:rFonts w:ascii="Calibri" w:eastAsia="Calibri" w:hAnsi="Calibri" w:cs="Calibri"/>
        </w:rPr>
      </w:pPr>
    </w:p>
    <w:p w14:paraId="22B0BC80" w14:textId="27816F55" w:rsidR="007243A8" w:rsidRPr="00D50CCD" w:rsidRDefault="00062EC8" w:rsidP="00D50CCD">
      <w:pPr>
        <w:shd w:val="clear" w:color="auto" w:fill="DEEAF6"/>
        <w:jc w:val="center"/>
        <w:rPr>
          <w:rFonts w:ascii="Montserrat" w:eastAsia="Calibri" w:hAnsi="Montserrat" w:cs="Calibri"/>
          <w:b/>
          <w:bCs/>
        </w:rPr>
      </w:pPr>
      <w:r>
        <w:rPr>
          <w:rFonts w:ascii="Montserrat" w:hAnsi="Montserrat"/>
          <w:b/>
          <w:bCs/>
        </w:rPr>
        <w:t>POST-IAS 29 PRESENTATION</w:t>
      </w:r>
    </w:p>
    <w:tbl>
      <w:tblPr>
        <w:tblW w:w="8112" w:type="dxa"/>
        <w:jc w:val="center"/>
        <w:tblCellMar>
          <w:left w:w="0" w:type="dxa"/>
          <w:right w:w="0" w:type="dxa"/>
        </w:tblCellMar>
        <w:tblLook w:val="04A0" w:firstRow="1" w:lastRow="0" w:firstColumn="1" w:lastColumn="0" w:noHBand="0" w:noVBand="1"/>
      </w:tblPr>
      <w:tblGrid>
        <w:gridCol w:w="2907"/>
        <w:gridCol w:w="1006"/>
        <w:gridCol w:w="1141"/>
        <w:gridCol w:w="1002"/>
        <w:gridCol w:w="1142"/>
        <w:gridCol w:w="914"/>
      </w:tblGrid>
      <w:tr w:rsidR="00F260A7" w:rsidRPr="004B5837" w14:paraId="60405DFE" w14:textId="77777777" w:rsidTr="000E07BA">
        <w:trPr>
          <w:trHeight w:val="74"/>
          <w:jc w:val="center"/>
        </w:trPr>
        <w:tc>
          <w:tcPr>
            <w:tcW w:w="2907" w:type="dxa"/>
            <w:vMerge w:val="restart"/>
            <w:tcBorders>
              <w:top w:val="single" w:sz="12" w:space="0" w:color="B4C6E7"/>
              <w:left w:val="nil"/>
              <w:right w:val="nil"/>
            </w:tcBorders>
            <w:tcMar>
              <w:top w:w="15" w:type="dxa"/>
              <w:left w:w="15" w:type="dxa"/>
              <w:bottom w:w="0" w:type="dxa"/>
              <w:right w:w="15" w:type="dxa"/>
            </w:tcMar>
            <w:vAlign w:val="center"/>
            <w:hideMark/>
          </w:tcPr>
          <w:p w14:paraId="664C64E7" w14:textId="77777777"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Revenue by division (€m)</w:t>
            </w:r>
          </w:p>
        </w:tc>
        <w:tc>
          <w:tcPr>
            <w:tcW w:w="4291" w:type="dxa"/>
            <w:gridSpan w:val="4"/>
            <w:tcBorders>
              <w:top w:val="single" w:sz="12" w:space="0" w:color="B4C6E7"/>
              <w:left w:val="nil"/>
              <w:bottom w:val="single" w:sz="12" w:space="0" w:color="9BC2E6"/>
              <w:right w:val="nil"/>
            </w:tcBorders>
            <w:vAlign w:val="center"/>
          </w:tcPr>
          <w:p w14:paraId="1BC7F246" w14:textId="77777777"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Reported</w:t>
            </w:r>
            <w:r>
              <w:rPr>
                <w:rFonts w:ascii="Calibri" w:hAnsi="Calibri"/>
                <w:b/>
                <w:color w:val="000000"/>
                <w:sz w:val="18"/>
                <w:szCs w:val="18"/>
              </w:rPr>
              <w:br/>
              <w:t xml:space="preserve">basis </w:t>
            </w:r>
          </w:p>
        </w:tc>
        <w:tc>
          <w:tcPr>
            <w:tcW w:w="914" w:type="dxa"/>
            <w:tcBorders>
              <w:top w:val="single" w:sz="12" w:space="0" w:color="B4C6E7"/>
              <w:left w:val="nil"/>
              <w:bottom w:val="single" w:sz="12" w:space="0" w:color="9BC2E6"/>
              <w:right w:val="nil"/>
            </w:tcBorders>
          </w:tcPr>
          <w:p w14:paraId="60A620AC" w14:textId="77777777" w:rsidR="00F260A7" w:rsidRPr="00922D3A" w:rsidRDefault="00F260A7" w:rsidP="000E07BA">
            <w:pPr>
              <w:spacing w:after="0" w:line="240" w:lineRule="auto"/>
              <w:jc w:val="center"/>
              <w:rPr>
                <w:rFonts w:ascii="Calibri" w:eastAsia="Calibri" w:hAnsi="Calibri" w:cs="Calibri"/>
                <w:b/>
                <w:color w:val="000000"/>
                <w:sz w:val="18"/>
                <w:szCs w:val="18"/>
              </w:rPr>
            </w:pPr>
          </w:p>
        </w:tc>
      </w:tr>
      <w:tr w:rsidR="00F260A7" w:rsidRPr="00112092" w14:paraId="1214F8CF" w14:textId="77777777" w:rsidTr="000E07BA">
        <w:trPr>
          <w:trHeight w:val="69"/>
          <w:jc w:val="center"/>
        </w:trPr>
        <w:tc>
          <w:tcPr>
            <w:tcW w:w="2907" w:type="dxa"/>
            <w:vMerge/>
            <w:tcBorders>
              <w:left w:val="nil"/>
              <w:bottom w:val="single" w:sz="12" w:space="0" w:color="9BC2E6"/>
              <w:right w:val="nil"/>
            </w:tcBorders>
            <w:tcMar>
              <w:top w:w="15" w:type="dxa"/>
              <w:left w:w="15" w:type="dxa"/>
              <w:bottom w:w="0" w:type="dxa"/>
              <w:right w:w="15" w:type="dxa"/>
            </w:tcMar>
            <w:vAlign w:val="center"/>
          </w:tcPr>
          <w:p w14:paraId="2062CE9D" w14:textId="77777777" w:rsidR="00F260A7" w:rsidRPr="00922D3A" w:rsidRDefault="00F260A7" w:rsidP="000E07BA">
            <w:pPr>
              <w:spacing w:after="0" w:line="240" w:lineRule="auto"/>
              <w:jc w:val="center"/>
              <w:rPr>
                <w:rFonts w:ascii="Calibri" w:eastAsia="Calibri" w:hAnsi="Calibri" w:cs="Calibri"/>
                <w:b/>
                <w:color w:val="000000"/>
                <w:sz w:val="18"/>
                <w:szCs w:val="18"/>
              </w:rPr>
            </w:pPr>
          </w:p>
        </w:tc>
        <w:tc>
          <w:tcPr>
            <w:tcW w:w="1006" w:type="dxa"/>
            <w:tcBorders>
              <w:top w:val="single" w:sz="12" w:space="0" w:color="9BC2E6"/>
              <w:left w:val="nil"/>
              <w:bottom w:val="single" w:sz="12" w:space="0" w:color="9BC2E6"/>
              <w:right w:val="nil"/>
            </w:tcBorders>
          </w:tcPr>
          <w:p w14:paraId="099D21C0" w14:textId="2D893794"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2023</w:t>
            </w:r>
          </w:p>
        </w:tc>
        <w:tc>
          <w:tcPr>
            <w:tcW w:w="1141" w:type="dxa"/>
            <w:tcBorders>
              <w:top w:val="single" w:sz="12" w:space="0" w:color="9BC2E6"/>
              <w:left w:val="nil"/>
              <w:bottom w:val="single" w:sz="12" w:space="0" w:color="9BC2E6"/>
              <w:right w:val="nil"/>
            </w:tcBorders>
          </w:tcPr>
          <w:p w14:paraId="6C246584" w14:textId="41D9FEFF"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2024</w:t>
            </w:r>
          </w:p>
        </w:tc>
        <w:tc>
          <w:tcPr>
            <w:tcW w:w="1002" w:type="dxa"/>
            <w:tcBorders>
              <w:top w:val="single" w:sz="12" w:space="0" w:color="9BC2E6"/>
              <w:left w:val="nil"/>
              <w:bottom w:val="single" w:sz="12" w:space="0" w:color="9BC2E6"/>
              <w:right w:val="nil"/>
            </w:tcBorders>
          </w:tcPr>
          <w:p w14:paraId="4B575D95" w14:textId="36BA74EA"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2025</w:t>
            </w:r>
          </w:p>
        </w:tc>
        <w:tc>
          <w:tcPr>
            <w:tcW w:w="1142" w:type="dxa"/>
            <w:tcBorders>
              <w:top w:val="single" w:sz="12" w:space="0" w:color="9BC2E6"/>
              <w:left w:val="nil"/>
              <w:bottom w:val="single" w:sz="12" w:space="0" w:color="9BC2E6"/>
              <w:right w:val="nil"/>
            </w:tcBorders>
          </w:tcPr>
          <w:p w14:paraId="71ADF4DE" w14:textId="7881F12B"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Q1 2026</w:t>
            </w:r>
          </w:p>
        </w:tc>
        <w:tc>
          <w:tcPr>
            <w:tcW w:w="914" w:type="dxa"/>
            <w:tcBorders>
              <w:top w:val="single" w:sz="12" w:space="0" w:color="9BC2E6"/>
              <w:left w:val="nil"/>
              <w:bottom w:val="single" w:sz="12" w:space="0" w:color="9BC2E6"/>
              <w:right w:val="nil"/>
            </w:tcBorders>
          </w:tcPr>
          <w:p w14:paraId="3997DD63" w14:textId="466B59D8" w:rsidR="00F260A7" w:rsidRPr="00922D3A" w:rsidRDefault="00F260A7" w:rsidP="000E07BA">
            <w:pPr>
              <w:spacing w:after="0" w:line="240" w:lineRule="auto"/>
              <w:jc w:val="center"/>
              <w:rPr>
                <w:rFonts w:ascii="Calibri" w:eastAsia="Calibri" w:hAnsi="Calibri" w:cs="Calibri"/>
                <w:b/>
                <w:color w:val="000000"/>
                <w:sz w:val="18"/>
                <w:szCs w:val="18"/>
              </w:rPr>
            </w:pPr>
            <w:r>
              <w:rPr>
                <w:rFonts w:ascii="Calibri" w:hAnsi="Calibri"/>
                <w:b/>
                <w:color w:val="000000"/>
                <w:sz w:val="18"/>
                <w:szCs w:val="18"/>
              </w:rPr>
              <w:t xml:space="preserve">Change 26/25 </w:t>
            </w:r>
          </w:p>
        </w:tc>
      </w:tr>
      <w:tr w:rsidR="00986256" w:rsidRPr="004B5837" w14:paraId="33702861" w14:textId="77777777" w:rsidTr="000E07BA">
        <w:trPr>
          <w:trHeight w:val="252"/>
          <w:jc w:val="center"/>
        </w:trPr>
        <w:tc>
          <w:tcPr>
            <w:tcW w:w="2907" w:type="dxa"/>
            <w:tcBorders>
              <w:top w:val="single" w:sz="12" w:space="0" w:color="B4C6E7"/>
              <w:left w:val="nil"/>
              <w:bottom w:val="nil"/>
              <w:right w:val="nil"/>
            </w:tcBorders>
            <w:tcMar>
              <w:top w:w="15" w:type="dxa"/>
              <w:left w:w="15" w:type="dxa"/>
              <w:bottom w:w="0" w:type="dxa"/>
              <w:right w:w="15" w:type="dxa"/>
            </w:tcMar>
            <w:vAlign w:val="center"/>
          </w:tcPr>
          <w:p w14:paraId="4999C882"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LIVE</w:t>
            </w:r>
          </w:p>
        </w:tc>
        <w:tc>
          <w:tcPr>
            <w:tcW w:w="1006" w:type="dxa"/>
            <w:tcBorders>
              <w:top w:val="single" w:sz="12" w:space="0" w:color="B4C6E7"/>
              <w:left w:val="nil"/>
              <w:bottom w:val="nil"/>
              <w:right w:val="nil"/>
            </w:tcBorders>
          </w:tcPr>
          <w:p w14:paraId="2BADFC9E" w14:textId="75B00B35"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150.2</w:t>
            </w:r>
          </w:p>
        </w:tc>
        <w:tc>
          <w:tcPr>
            <w:tcW w:w="1141" w:type="dxa"/>
            <w:tcBorders>
              <w:top w:val="single" w:sz="12" w:space="0" w:color="B4C6E7"/>
              <w:left w:val="nil"/>
              <w:bottom w:val="nil"/>
              <w:right w:val="nil"/>
            </w:tcBorders>
            <w:shd w:val="clear" w:color="000000" w:fill="FFFFFF"/>
            <w:tcMar>
              <w:top w:w="15" w:type="dxa"/>
              <w:left w:w="15" w:type="dxa"/>
              <w:bottom w:w="0" w:type="dxa"/>
              <w:right w:w="15" w:type="dxa"/>
            </w:tcMar>
          </w:tcPr>
          <w:p w14:paraId="4CC107A0" w14:textId="1DB899A4"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192.2</w:t>
            </w:r>
          </w:p>
        </w:tc>
        <w:tc>
          <w:tcPr>
            <w:tcW w:w="1002" w:type="dxa"/>
            <w:tcBorders>
              <w:top w:val="single" w:sz="12" w:space="0" w:color="B4C6E7"/>
              <w:left w:val="nil"/>
              <w:bottom w:val="nil"/>
              <w:right w:val="nil"/>
            </w:tcBorders>
          </w:tcPr>
          <w:p w14:paraId="244E50E1" w14:textId="486A3B57"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195.2</w:t>
            </w:r>
          </w:p>
        </w:tc>
        <w:tc>
          <w:tcPr>
            <w:tcW w:w="1142" w:type="dxa"/>
            <w:tcBorders>
              <w:top w:val="single" w:sz="12" w:space="0" w:color="B4C6E7"/>
              <w:left w:val="nil"/>
              <w:bottom w:val="nil"/>
              <w:right w:val="nil"/>
            </w:tcBorders>
            <w:shd w:val="clear" w:color="000000" w:fill="F2F2F2"/>
            <w:tcMar>
              <w:top w:w="15" w:type="dxa"/>
              <w:left w:w="15" w:type="dxa"/>
              <w:bottom w:w="0" w:type="dxa"/>
              <w:right w:w="15" w:type="dxa"/>
            </w:tcMar>
            <w:vAlign w:val="center"/>
          </w:tcPr>
          <w:p w14:paraId="6B8193B7" w14:textId="0788DFEE" w:rsidR="00986256" w:rsidRPr="00575663" w:rsidRDefault="00112561" w:rsidP="00986256">
            <w:pPr>
              <w:spacing w:after="0"/>
              <w:jc w:val="center"/>
              <w:rPr>
                <w:rFonts w:ascii="Calibri" w:eastAsia="Calibri" w:hAnsi="Calibri" w:cs="Calibri"/>
                <w:b/>
                <w:color w:val="000000"/>
                <w:sz w:val="20"/>
                <w:szCs w:val="20"/>
              </w:rPr>
            </w:pPr>
            <w:r>
              <w:rPr>
                <w:rFonts w:ascii="Calibri" w:hAnsi="Calibri"/>
                <w:b/>
                <w:color w:val="000000"/>
                <w:sz w:val="20"/>
                <w:szCs w:val="20"/>
              </w:rPr>
              <w:t>251.5</w:t>
            </w:r>
          </w:p>
        </w:tc>
        <w:tc>
          <w:tcPr>
            <w:tcW w:w="914" w:type="dxa"/>
            <w:tcBorders>
              <w:top w:val="single" w:sz="12" w:space="0" w:color="B4C6E7"/>
              <w:left w:val="nil"/>
              <w:bottom w:val="nil"/>
              <w:right w:val="nil"/>
            </w:tcBorders>
          </w:tcPr>
          <w:p w14:paraId="650CB45C" w14:textId="7EFD3E39" w:rsidR="00986256" w:rsidRPr="00575663" w:rsidRDefault="00112561" w:rsidP="00986256">
            <w:pPr>
              <w:spacing w:after="0"/>
              <w:jc w:val="center"/>
              <w:rPr>
                <w:rFonts w:ascii="Calibri" w:eastAsia="Calibri" w:hAnsi="Calibri" w:cs="Calibri"/>
                <w:color w:val="000000"/>
                <w:sz w:val="20"/>
                <w:szCs w:val="20"/>
              </w:rPr>
            </w:pPr>
            <w:r>
              <w:rPr>
                <w:rFonts w:ascii="Calibri" w:hAnsi="Calibri"/>
                <w:color w:val="000000"/>
                <w:sz w:val="20"/>
                <w:szCs w:val="20"/>
              </w:rPr>
              <w:t>29%</w:t>
            </w:r>
          </w:p>
        </w:tc>
      </w:tr>
      <w:tr w:rsidR="00986256" w:rsidRPr="00112092" w14:paraId="2092BA28" w14:textId="77777777" w:rsidTr="000E07BA">
        <w:trPr>
          <w:trHeight w:val="252"/>
          <w:jc w:val="center"/>
        </w:trPr>
        <w:tc>
          <w:tcPr>
            <w:tcW w:w="2907" w:type="dxa"/>
            <w:tcBorders>
              <w:top w:val="nil"/>
              <w:left w:val="nil"/>
              <w:bottom w:val="nil"/>
              <w:right w:val="nil"/>
            </w:tcBorders>
            <w:tcMar>
              <w:top w:w="15" w:type="dxa"/>
              <w:left w:w="15" w:type="dxa"/>
              <w:bottom w:w="0" w:type="dxa"/>
              <w:right w:w="15" w:type="dxa"/>
            </w:tcMar>
            <w:vAlign w:val="center"/>
          </w:tcPr>
          <w:p w14:paraId="70C9EDD9"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EXHIBITIONS</w:t>
            </w:r>
          </w:p>
        </w:tc>
        <w:tc>
          <w:tcPr>
            <w:tcW w:w="1006" w:type="dxa"/>
            <w:tcBorders>
              <w:top w:val="nil"/>
              <w:left w:val="nil"/>
              <w:bottom w:val="nil"/>
              <w:right w:val="nil"/>
            </w:tcBorders>
          </w:tcPr>
          <w:p w14:paraId="0DB68B28" w14:textId="1A6AE2DD"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112.7</w:t>
            </w:r>
          </w:p>
        </w:tc>
        <w:tc>
          <w:tcPr>
            <w:tcW w:w="1141" w:type="dxa"/>
            <w:tcBorders>
              <w:top w:val="nil"/>
              <w:left w:val="nil"/>
              <w:bottom w:val="nil"/>
              <w:right w:val="nil"/>
            </w:tcBorders>
            <w:shd w:val="clear" w:color="000000" w:fill="FFFFFF"/>
            <w:tcMar>
              <w:top w:w="15" w:type="dxa"/>
              <w:left w:w="15" w:type="dxa"/>
              <w:bottom w:w="0" w:type="dxa"/>
              <w:right w:w="15" w:type="dxa"/>
            </w:tcMar>
          </w:tcPr>
          <w:p w14:paraId="2F05319C" w14:textId="0D975E22"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99.8</w:t>
            </w:r>
          </w:p>
        </w:tc>
        <w:tc>
          <w:tcPr>
            <w:tcW w:w="1002" w:type="dxa"/>
            <w:tcBorders>
              <w:top w:val="nil"/>
              <w:left w:val="nil"/>
              <w:bottom w:val="nil"/>
              <w:right w:val="nil"/>
            </w:tcBorders>
          </w:tcPr>
          <w:p w14:paraId="754CEA5C" w14:textId="2617C041"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123.3</w:t>
            </w:r>
          </w:p>
        </w:tc>
        <w:tc>
          <w:tcPr>
            <w:tcW w:w="1142" w:type="dxa"/>
            <w:tcBorders>
              <w:top w:val="nil"/>
              <w:left w:val="nil"/>
              <w:bottom w:val="nil"/>
              <w:right w:val="nil"/>
            </w:tcBorders>
            <w:shd w:val="clear" w:color="000000" w:fill="F2F2F2"/>
            <w:tcMar>
              <w:top w:w="15" w:type="dxa"/>
              <w:left w:w="15" w:type="dxa"/>
              <w:bottom w:w="0" w:type="dxa"/>
              <w:right w:w="15" w:type="dxa"/>
            </w:tcMar>
            <w:vAlign w:val="center"/>
          </w:tcPr>
          <w:p w14:paraId="22C7D092" w14:textId="25E9CDB9" w:rsidR="00986256" w:rsidRPr="00575663" w:rsidRDefault="00112561" w:rsidP="00986256">
            <w:pPr>
              <w:spacing w:after="0"/>
              <w:jc w:val="center"/>
              <w:rPr>
                <w:rFonts w:ascii="Calibri" w:eastAsia="Calibri" w:hAnsi="Calibri" w:cs="Calibri"/>
                <w:b/>
                <w:color w:val="000000"/>
                <w:sz w:val="20"/>
                <w:szCs w:val="20"/>
              </w:rPr>
            </w:pPr>
            <w:r>
              <w:rPr>
                <w:rFonts w:ascii="Calibri" w:hAnsi="Calibri"/>
                <w:b/>
                <w:color w:val="000000"/>
                <w:sz w:val="20"/>
                <w:szCs w:val="20"/>
              </w:rPr>
              <w:t>93.7</w:t>
            </w:r>
          </w:p>
        </w:tc>
        <w:tc>
          <w:tcPr>
            <w:tcW w:w="914" w:type="dxa"/>
            <w:tcBorders>
              <w:top w:val="nil"/>
              <w:left w:val="nil"/>
              <w:bottom w:val="nil"/>
              <w:right w:val="nil"/>
            </w:tcBorders>
            <w:vAlign w:val="center"/>
          </w:tcPr>
          <w:p w14:paraId="66994256" w14:textId="1DF1416B" w:rsidR="00986256" w:rsidRPr="00575663" w:rsidRDefault="00112561" w:rsidP="00986256">
            <w:pPr>
              <w:spacing w:after="0"/>
              <w:jc w:val="center"/>
              <w:rPr>
                <w:rFonts w:ascii="Calibri" w:eastAsia="Calibri" w:hAnsi="Calibri" w:cs="Calibri"/>
                <w:color w:val="000000"/>
                <w:sz w:val="20"/>
                <w:szCs w:val="20"/>
              </w:rPr>
            </w:pPr>
            <w:r>
              <w:rPr>
                <w:rFonts w:ascii="Calibri" w:hAnsi="Calibri"/>
                <w:color w:val="000000"/>
                <w:sz w:val="20"/>
                <w:szCs w:val="20"/>
              </w:rPr>
              <w:t>-24%</w:t>
            </w:r>
          </w:p>
        </w:tc>
      </w:tr>
      <w:tr w:rsidR="00986256" w:rsidRPr="00112092" w14:paraId="3B349B20" w14:textId="77777777" w:rsidTr="000E07BA">
        <w:trPr>
          <w:trHeight w:val="252"/>
          <w:jc w:val="center"/>
        </w:trPr>
        <w:tc>
          <w:tcPr>
            <w:tcW w:w="2907" w:type="dxa"/>
            <w:tcBorders>
              <w:top w:val="nil"/>
              <w:left w:val="nil"/>
              <w:right w:val="nil"/>
            </w:tcBorders>
            <w:tcMar>
              <w:top w:w="15" w:type="dxa"/>
              <w:left w:w="15" w:type="dxa"/>
              <w:bottom w:w="0" w:type="dxa"/>
              <w:right w:w="15" w:type="dxa"/>
            </w:tcMar>
            <w:vAlign w:val="center"/>
          </w:tcPr>
          <w:p w14:paraId="37FC4D00"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VENUES</w:t>
            </w:r>
          </w:p>
        </w:tc>
        <w:tc>
          <w:tcPr>
            <w:tcW w:w="1006" w:type="dxa"/>
            <w:tcBorders>
              <w:top w:val="nil"/>
              <w:left w:val="nil"/>
              <w:right w:val="nil"/>
            </w:tcBorders>
          </w:tcPr>
          <w:p w14:paraId="6522C2E1" w14:textId="7B93834C"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88.0</w:t>
            </w:r>
          </w:p>
        </w:tc>
        <w:tc>
          <w:tcPr>
            <w:tcW w:w="1141" w:type="dxa"/>
            <w:tcBorders>
              <w:top w:val="nil"/>
              <w:left w:val="nil"/>
              <w:right w:val="nil"/>
            </w:tcBorders>
            <w:shd w:val="clear" w:color="000000" w:fill="FFFFFF"/>
            <w:tcMar>
              <w:top w:w="15" w:type="dxa"/>
              <w:left w:w="15" w:type="dxa"/>
              <w:bottom w:w="0" w:type="dxa"/>
              <w:right w:w="15" w:type="dxa"/>
            </w:tcMar>
          </w:tcPr>
          <w:p w14:paraId="019B0F54" w14:textId="3EACFF04"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94.2</w:t>
            </w:r>
          </w:p>
        </w:tc>
        <w:tc>
          <w:tcPr>
            <w:tcW w:w="1002" w:type="dxa"/>
            <w:tcBorders>
              <w:top w:val="nil"/>
              <w:left w:val="nil"/>
              <w:right w:val="nil"/>
            </w:tcBorders>
          </w:tcPr>
          <w:p w14:paraId="34A7B7F9" w14:textId="1B0A851B"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111.2</w:t>
            </w:r>
          </w:p>
        </w:tc>
        <w:tc>
          <w:tcPr>
            <w:tcW w:w="1142" w:type="dxa"/>
            <w:tcBorders>
              <w:top w:val="nil"/>
              <w:left w:val="nil"/>
              <w:right w:val="nil"/>
            </w:tcBorders>
            <w:shd w:val="clear" w:color="000000" w:fill="F2F2F2"/>
            <w:tcMar>
              <w:top w:w="15" w:type="dxa"/>
              <w:left w:w="15" w:type="dxa"/>
              <w:bottom w:w="0" w:type="dxa"/>
              <w:right w:w="15" w:type="dxa"/>
            </w:tcMar>
          </w:tcPr>
          <w:p w14:paraId="2149969D" w14:textId="72B36F3C" w:rsidR="00986256" w:rsidRPr="00575663" w:rsidRDefault="00112561" w:rsidP="00986256">
            <w:pPr>
              <w:spacing w:after="0"/>
              <w:jc w:val="center"/>
              <w:rPr>
                <w:rFonts w:ascii="Calibri" w:eastAsia="Calibri" w:hAnsi="Calibri" w:cs="Calibri"/>
                <w:b/>
                <w:color w:val="000000"/>
                <w:sz w:val="20"/>
                <w:szCs w:val="20"/>
              </w:rPr>
            </w:pPr>
            <w:r>
              <w:rPr>
                <w:rFonts w:ascii="Calibri" w:hAnsi="Calibri"/>
                <w:b/>
                <w:color w:val="000000"/>
                <w:sz w:val="20"/>
                <w:szCs w:val="20"/>
              </w:rPr>
              <w:t>122.8</w:t>
            </w:r>
          </w:p>
        </w:tc>
        <w:tc>
          <w:tcPr>
            <w:tcW w:w="914" w:type="dxa"/>
            <w:tcBorders>
              <w:top w:val="nil"/>
              <w:left w:val="nil"/>
              <w:right w:val="nil"/>
            </w:tcBorders>
            <w:vAlign w:val="center"/>
          </w:tcPr>
          <w:p w14:paraId="1F23CB22" w14:textId="1787D79F" w:rsidR="00986256" w:rsidRPr="00575663" w:rsidRDefault="00112561" w:rsidP="00986256">
            <w:pPr>
              <w:spacing w:after="0"/>
              <w:jc w:val="center"/>
              <w:rPr>
                <w:rFonts w:ascii="Calibri" w:eastAsia="Calibri" w:hAnsi="Calibri" w:cs="Calibri"/>
                <w:color w:val="000000"/>
                <w:sz w:val="20"/>
                <w:szCs w:val="20"/>
              </w:rPr>
            </w:pPr>
            <w:r>
              <w:rPr>
                <w:rFonts w:ascii="Calibri" w:hAnsi="Calibri"/>
                <w:color w:val="000000"/>
                <w:sz w:val="20"/>
                <w:szCs w:val="20"/>
              </w:rPr>
              <w:t>10%</w:t>
            </w:r>
          </w:p>
        </w:tc>
      </w:tr>
      <w:tr w:rsidR="00986256" w:rsidRPr="00112092" w14:paraId="1583C8A4" w14:textId="77777777" w:rsidTr="000E07BA">
        <w:trPr>
          <w:trHeight w:val="252"/>
          <w:jc w:val="center"/>
        </w:trPr>
        <w:tc>
          <w:tcPr>
            <w:tcW w:w="2907" w:type="dxa"/>
            <w:tcBorders>
              <w:top w:val="nil"/>
              <w:left w:val="nil"/>
              <w:bottom w:val="single" w:sz="12" w:space="0" w:color="B4C6E7"/>
              <w:right w:val="nil"/>
            </w:tcBorders>
            <w:tcMar>
              <w:top w:w="15" w:type="dxa"/>
              <w:left w:w="15" w:type="dxa"/>
              <w:bottom w:w="0" w:type="dxa"/>
              <w:right w:w="15" w:type="dxa"/>
            </w:tcMar>
            <w:vAlign w:val="center"/>
            <w:hideMark/>
          </w:tcPr>
          <w:p w14:paraId="6C2FEC8F" w14:textId="77777777" w:rsidR="00986256" w:rsidRPr="00922D3A" w:rsidRDefault="00986256" w:rsidP="00986256">
            <w:pPr>
              <w:spacing w:after="0"/>
              <w:rPr>
                <w:rFonts w:ascii="Calibri" w:eastAsia="Calibri" w:hAnsi="Calibri" w:cs="Calibri"/>
                <w:b/>
                <w:color w:val="000000"/>
                <w:sz w:val="18"/>
                <w:szCs w:val="18"/>
              </w:rPr>
            </w:pPr>
            <w:r>
              <w:rPr>
                <w:rFonts w:ascii="Calibri" w:hAnsi="Calibri"/>
                <w:b/>
                <w:color w:val="000000"/>
                <w:sz w:val="18"/>
                <w:szCs w:val="18"/>
              </w:rPr>
              <w:t>CONSOLIDATED TOTAL</w:t>
            </w:r>
          </w:p>
        </w:tc>
        <w:tc>
          <w:tcPr>
            <w:tcW w:w="1006" w:type="dxa"/>
            <w:tcBorders>
              <w:top w:val="nil"/>
              <w:left w:val="nil"/>
              <w:bottom w:val="single" w:sz="12" w:space="0" w:color="B4C6E7"/>
              <w:right w:val="nil"/>
            </w:tcBorders>
          </w:tcPr>
          <w:p w14:paraId="05930883" w14:textId="276AAD26"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350.9</w:t>
            </w:r>
          </w:p>
        </w:tc>
        <w:tc>
          <w:tcPr>
            <w:tcW w:w="1141" w:type="dxa"/>
            <w:tcBorders>
              <w:top w:val="nil"/>
              <w:left w:val="nil"/>
              <w:bottom w:val="single" w:sz="12" w:space="0" w:color="B4C6E7"/>
              <w:right w:val="nil"/>
            </w:tcBorders>
            <w:shd w:val="clear" w:color="000000" w:fill="FFFFFF"/>
            <w:tcMar>
              <w:top w:w="15" w:type="dxa"/>
              <w:left w:w="15" w:type="dxa"/>
              <w:bottom w:w="0" w:type="dxa"/>
              <w:right w:w="15" w:type="dxa"/>
            </w:tcMar>
            <w:hideMark/>
          </w:tcPr>
          <w:p w14:paraId="74BA460E" w14:textId="77D9ACCD"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386.3</w:t>
            </w:r>
          </w:p>
        </w:tc>
        <w:tc>
          <w:tcPr>
            <w:tcW w:w="1002" w:type="dxa"/>
            <w:tcBorders>
              <w:top w:val="nil"/>
              <w:left w:val="nil"/>
              <w:bottom w:val="single" w:sz="12" w:space="0" w:color="B4C6E7"/>
              <w:right w:val="nil"/>
            </w:tcBorders>
          </w:tcPr>
          <w:p w14:paraId="291E7755" w14:textId="18EC2638" w:rsidR="00986256" w:rsidRPr="00986256" w:rsidRDefault="00986256" w:rsidP="00986256">
            <w:pPr>
              <w:spacing w:after="0"/>
              <w:jc w:val="center"/>
              <w:rPr>
                <w:rFonts w:ascii="Calibri" w:eastAsia="Calibri" w:hAnsi="Calibri" w:cs="Calibri"/>
                <w:bCs/>
                <w:color w:val="000000"/>
                <w:sz w:val="20"/>
                <w:szCs w:val="20"/>
              </w:rPr>
            </w:pPr>
            <w:r>
              <w:rPr>
                <w:rFonts w:ascii="Calibri" w:hAnsi="Calibri"/>
                <w:bCs/>
                <w:color w:val="000000"/>
                <w:sz w:val="20"/>
                <w:szCs w:val="20"/>
              </w:rPr>
              <w:t>429.7</w:t>
            </w:r>
          </w:p>
        </w:tc>
        <w:tc>
          <w:tcPr>
            <w:tcW w:w="1142" w:type="dxa"/>
            <w:tcBorders>
              <w:top w:val="nil"/>
              <w:left w:val="nil"/>
              <w:bottom w:val="single" w:sz="12" w:space="0" w:color="B4C6E7"/>
              <w:right w:val="nil"/>
            </w:tcBorders>
            <w:shd w:val="clear" w:color="000000" w:fill="F2F2F2"/>
            <w:tcMar>
              <w:top w:w="15" w:type="dxa"/>
              <w:left w:w="15" w:type="dxa"/>
              <w:bottom w:w="0" w:type="dxa"/>
              <w:right w:w="15" w:type="dxa"/>
            </w:tcMar>
            <w:vAlign w:val="center"/>
          </w:tcPr>
          <w:p w14:paraId="10D4AF41" w14:textId="66B35CB2" w:rsidR="00986256" w:rsidRPr="00575663" w:rsidRDefault="00112561" w:rsidP="00986256">
            <w:pPr>
              <w:spacing w:after="0"/>
              <w:jc w:val="center"/>
              <w:rPr>
                <w:rFonts w:ascii="Calibri" w:eastAsia="Calibri" w:hAnsi="Calibri" w:cs="Calibri"/>
                <w:b/>
                <w:color w:val="000000"/>
                <w:sz w:val="20"/>
                <w:szCs w:val="20"/>
              </w:rPr>
            </w:pPr>
            <w:r>
              <w:rPr>
                <w:rFonts w:ascii="Calibri" w:hAnsi="Calibri"/>
                <w:b/>
                <w:color w:val="000000"/>
                <w:sz w:val="20"/>
                <w:szCs w:val="20"/>
              </w:rPr>
              <w:t>468.1</w:t>
            </w:r>
          </w:p>
        </w:tc>
        <w:tc>
          <w:tcPr>
            <w:tcW w:w="914" w:type="dxa"/>
            <w:tcBorders>
              <w:top w:val="nil"/>
              <w:left w:val="nil"/>
              <w:bottom w:val="single" w:sz="12" w:space="0" w:color="B4C6E7"/>
              <w:right w:val="nil"/>
            </w:tcBorders>
          </w:tcPr>
          <w:p w14:paraId="4A540D01" w14:textId="69DD25D8" w:rsidR="00986256" w:rsidRPr="00575663" w:rsidRDefault="00112561" w:rsidP="00986256">
            <w:pPr>
              <w:spacing w:after="0"/>
              <w:jc w:val="center"/>
              <w:rPr>
                <w:rFonts w:ascii="Calibri" w:eastAsia="Calibri" w:hAnsi="Calibri" w:cs="Calibri"/>
                <w:color w:val="000000"/>
                <w:sz w:val="20"/>
                <w:szCs w:val="20"/>
              </w:rPr>
            </w:pPr>
            <w:r>
              <w:rPr>
                <w:rFonts w:ascii="Calibri" w:hAnsi="Calibri"/>
                <w:color w:val="000000"/>
                <w:sz w:val="20"/>
                <w:szCs w:val="20"/>
              </w:rPr>
              <w:t>9%</w:t>
            </w:r>
          </w:p>
        </w:tc>
      </w:tr>
    </w:tbl>
    <w:p w14:paraId="401E337E" w14:textId="77777777" w:rsidR="00F260A7" w:rsidRPr="00112092" w:rsidRDefault="00F260A7" w:rsidP="00112092">
      <w:pPr>
        <w:jc w:val="both"/>
        <w:rPr>
          <w:rFonts w:ascii="Calibri" w:eastAsia="Calibri" w:hAnsi="Calibri" w:cs="Arial"/>
        </w:rPr>
      </w:pPr>
    </w:p>
    <w:p w14:paraId="4A44AE98" w14:textId="77777777" w:rsidR="00112092" w:rsidRPr="00112092" w:rsidRDefault="00112092" w:rsidP="00112092">
      <w:pPr>
        <w:shd w:val="clear" w:color="auto" w:fill="DEEAF6"/>
        <w:jc w:val="center"/>
        <w:rPr>
          <w:rFonts w:ascii="Montserrat" w:eastAsia="Calibri" w:hAnsi="Montserrat" w:cs="Calibri"/>
          <w:b/>
          <w:bCs/>
        </w:rPr>
      </w:pPr>
      <w:r>
        <w:rPr>
          <w:rFonts w:ascii="Montserrat" w:hAnsi="Montserrat"/>
          <w:b/>
          <w:bCs/>
        </w:rPr>
        <w:t xml:space="preserve">UPCOMING EVENTS </w:t>
      </w:r>
    </w:p>
    <w:p w14:paraId="47EAC719" w14:textId="6E151776" w:rsidR="00112092" w:rsidRPr="00922D3A" w:rsidRDefault="00112092" w:rsidP="00112092">
      <w:pPr>
        <w:numPr>
          <w:ilvl w:val="0"/>
          <w:numId w:val="1"/>
        </w:numPr>
        <w:contextualSpacing/>
        <w:jc w:val="both"/>
        <w:rPr>
          <w:rFonts w:ascii="Calibri" w:eastAsia="Calibri" w:hAnsi="Calibri" w:cs="Calibri"/>
        </w:rPr>
      </w:pPr>
      <w:r>
        <w:rPr>
          <w:rFonts w:ascii="Calibri" w:hAnsi="Calibri"/>
        </w:rPr>
        <w:t>Annual General Meeting 29 April 2026</w:t>
      </w:r>
    </w:p>
    <w:p w14:paraId="14E4E7AC" w14:textId="292E3F0D" w:rsidR="00112092" w:rsidRDefault="00112092" w:rsidP="00112092">
      <w:pPr>
        <w:numPr>
          <w:ilvl w:val="0"/>
          <w:numId w:val="1"/>
        </w:numPr>
        <w:contextualSpacing/>
        <w:jc w:val="both"/>
        <w:rPr>
          <w:rFonts w:ascii="Calibri" w:eastAsia="Calibri" w:hAnsi="Calibri" w:cs="Calibri"/>
        </w:rPr>
      </w:pPr>
      <w:r>
        <w:rPr>
          <w:rFonts w:ascii="Calibri" w:hAnsi="Calibri"/>
        </w:rPr>
        <w:t>Q2 2026 revenue and H1 2026 results: 22 July 2026</w:t>
      </w:r>
    </w:p>
    <w:p w14:paraId="4A7A75EF" w14:textId="1C71DAED" w:rsidR="00E432C8" w:rsidRPr="00922D3A" w:rsidRDefault="00E432C8" w:rsidP="00112092">
      <w:pPr>
        <w:numPr>
          <w:ilvl w:val="0"/>
          <w:numId w:val="1"/>
        </w:numPr>
        <w:contextualSpacing/>
        <w:jc w:val="both"/>
        <w:rPr>
          <w:rFonts w:ascii="Calibri" w:eastAsia="Calibri" w:hAnsi="Calibri" w:cs="Calibri"/>
        </w:rPr>
      </w:pPr>
      <w:r>
        <w:rPr>
          <w:rFonts w:ascii="Calibri" w:hAnsi="Calibri"/>
        </w:rPr>
        <w:t>Q3 2026 revenue: 14 October 2026</w:t>
      </w:r>
    </w:p>
    <w:p w14:paraId="39729A59" w14:textId="50ADB635" w:rsidR="00112092" w:rsidRPr="00112092" w:rsidRDefault="004D1681" w:rsidP="002301DC">
      <w:pPr>
        <w:spacing w:line="278" w:lineRule="auto"/>
        <w:rPr>
          <w:rFonts w:ascii="Calibri" w:eastAsia="Calibri" w:hAnsi="Calibri" w:cs="Calibri"/>
        </w:rPr>
      </w:pPr>
      <w:r>
        <w:br w:type="page"/>
      </w:r>
    </w:p>
    <w:tbl>
      <w:tblPr>
        <w:tblpPr w:leftFromText="141" w:rightFromText="141" w:vertAnchor="text" w:horzAnchor="margin" w:tblpY="18"/>
        <w:tblW w:w="9356" w:type="dxa"/>
        <w:tblBorders>
          <w:bottom w:val="single" w:sz="18" w:space="0" w:color="9CC2E5"/>
        </w:tblBorders>
        <w:tblCellMar>
          <w:left w:w="70" w:type="dxa"/>
          <w:right w:w="70" w:type="dxa"/>
        </w:tblCellMar>
        <w:tblLook w:val="0000" w:firstRow="0" w:lastRow="0" w:firstColumn="0" w:lastColumn="0" w:noHBand="0" w:noVBand="0"/>
      </w:tblPr>
      <w:tblGrid>
        <w:gridCol w:w="9356"/>
      </w:tblGrid>
      <w:tr w:rsidR="00112092" w:rsidRPr="00112092" w14:paraId="25D066F9" w14:textId="77777777" w:rsidTr="00E62067">
        <w:trPr>
          <w:trHeight w:val="454"/>
        </w:trPr>
        <w:tc>
          <w:tcPr>
            <w:tcW w:w="9356" w:type="dxa"/>
            <w:vAlign w:val="center"/>
          </w:tcPr>
          <w:p w14:paraId="2121B95A" w14:textId="111A232A" w:rsidR="00112092" w:rsidRPr="00D8350A" w:rsidRDefault="00112092" w:rsidP="00E62067">
            <w:pPr>
              <w:spacing w:before="100" w:beforeAutospacing="1" w:after="100" w:afterAutospacing="1"/>
              <w:jc w:val="center"/>
              <w:rPr>
                <w:rFonts w:ascii="Montserrat" w:eastAsia="Calibri" w:hAnsi="Montserrat" w:cs="Calibri"/>
                <w:b/>
                <w:caps/>
              </w:rPr>
            </w:pPr>
            <w:r>
              <w:rPr>
                <w:rFonts w:ascii="Montserrat" w:hAnsi="Montserrat"/>
                <w:b/>
                <w:caps/>
              </w:rPr>
              <w:lastRenderedPageBreak/>
              <w:t>About GL EVENTS:</w:t>
            </w:r>
          </w:p>
        </w:tc>
      </w:tr>
    </w:tbl>
    <w:p w14:paraId="470B178D" w14:textId="77777777" w:rsidR="00112092" w:rsidRPr="00D8350A" w:rsidRDefault="00ED79B3" w:rsidP="00112092">
      <w:pPr>
        <w:jc w:val="center"/>
        <w:rPr>
          <w:rFonts w:ascii="Calibri" w:eastAsia="Calibri" w:hAnsi="Calibri" w:cs="Calibri"/>
          <w:b/>
          <w:color w:val="000000"/>
        </w:rPr>
      </w:pPr>
      <w:hyperlink r:id="rId11" w:history="1">
        <w:r>
          <w:rPr>
            <w:rFonts w:ascii="Calibri" w:hAnsi="Calibri"/>
            <w:color w:val="000000"/>
            <w:u w:val="single"/>
          </w:rPr>
          <w:t>www.gl-events.com</w:t>
        </w:r>
      </w:hyperlink>
    </w:p>
    <w:p w14:paraId="0F9365CD" w14:textId="77777777" w:rsidR="00112092" w:rsidRPr="00D8350A" w:rsidRDefault="00112092" w:rsidP="00112092">
      <w:pPr>
        <w:jc w:val="center"/>
        <w:rPr>
          <w:rFonts w:ascii="Calibri" w:eastAsia="Calibri" w:hAnsi="Calibri" w:cs="Calibri"/>
          <w:b/>
          <w:color w:val="000000"/>
        </w:rPr>
      </w:pPr>
      <w:r>
        <w:rPr>
          <w:rFonts w:ascii="Calibri" w:hAnsi="Calibri"/>
          <w:b/>
          <w:caps/>
          <w:noProof/>
          <w:lang w:eastAsia="en-GB"/>
        </w:rPr>
        <w:drawing>
          <wp:inline distT="0" distB="0" distL="0" distR="0" wp14:anchorId="24401D62" wp14:editId="070751C3">
            <wp:extent cx="236220" cy="241276"/>
            <wp:effectExtent l="0" t="0" r="0" b="6985"/>
            <wp:docPr id="643496071" name="Picture 64349607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96071" name="Picture 643496071">
                      <a:hlinkClick r:id="rId12"/>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524" t="9524" r="9524" b="7791"/>
                    <a:stretch/>
                  </pic:blipFill>
                  <pic:spPr bwMode="auto">
                    <a:xfrm>
                      <a:off x="0" y="0"/>
                      <a:ext cx="245280" cy="25052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Calibri" w:hAnsi="Calibri"/>
          <w:b/>
          <w:color w:val="000000"/>
        </w:rPr>
        <w:t xml:space="preserve"> </w:t>
      </w:r>
      <w:r>
        <w:rPr>
          <w:caps/>
          <w:noProof/>
          <w:lang w:eastAsia="en-GB"/>
        </w:rPr>
        <w:drawing>
          <wp:inline distT="0" distB="0" distL="0" distR="0" wp14:anchorId="74E75C40" wp14:editId="6ACB0878">
            <wp:extent cx="259080" cy="251460"/>
            <wp:effectExtent l="0" t="0" r="7620" b="0"/>
            <wp:docPr id="972590342" name="Picture 97259034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51460"/>
                    </a:xfrm>
                    <a:prstGeom prst="rect">
                      <a:avLst/>
                    </a:prstGeom>
                    <a:noFill/>
                    <a:ln>
                      <a:noFill/>
                    </a:ln>
                  </pic:spPr>
                </pic:pic>
              </a:graphicData>
            </a:graphic>
          </wp:inline>
        </w:drawing>
      </w:r>
      <w:r>
        <w:rPr>
          <w:rFonts w:ascii="Calibri" w:hAnsi="Calibri"/>
          <w:b/>
          <w:color w:val="000000"/>
        </w:rPr>
        <w:t xml:space="preserve"> </w:t>
      </w:r>
      <w:r>
        <w:rPr>
          <w:caps/>
          <w:noProof/>
          <w:lang w:eastAsia="en-GB"/>
        </w:rPr>
        <w:drawing>
          <wp:inline distT="0" distB="0" distL="0" distR="0" wp14:anchorId="0A10E24D" wp14:editId="44C65D71">
            <wp:extent cx="266700" cy="259080"/>
            <wp:effectExtent l="0" t="0" r="0" b="7620"/>
            <wp:docPr id="612084980" name="Picture 61208498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l="2872" t="3682" r="3223" b="9991"/>
                    <a:stretch>
                      <a:fillRect/>
                    </a:stretch>
                  </pic:blipFill>
                  <pic:spPr bwMode="auto">
                    <a:xfrm>
                      <a:off x="0" y="0"/>
                      <a:ext cx="266700" cy="259080"/>
                    </a:xfrm>
                    <a:prstGeom prst="rect">
                      <a:avLst/>
                    </a:prstGeom>
                    <a:noFill/>
                    <a:ln>
                      <a:noFill/>
                    </a:ln>
                  </pic:spPr>
                </pic:pic>
              </a:graphicData>
            </a:graphic>
          </wp:inline>
        </w:drawing>
      </w:r>
      <w:r>
        <w:rPr>
          <w:rFonts w:ascii="Calibri" w:hAnsi="Calibri"/>
          <w:b/>
          <w:color w:val="000000"/>
        </w:rPr>
        <w:t xml:space="preserve"> </w:t>
      </w:r>
      <w:r>
        <w:rPr>
          <w:caps/>
          <w:noProof/>
          <w:lang w:eastAsia="en-GB"/>
        </w:rPr>
        <w:drawing>
          <wp:inline distT="0" distB="0" distL="0" distR="0" wp14:anchorId="08FB9E1B" wp14:editId="37ED346C">
            <wp:extent cx="251460" cy="251460"/>
            <wp:effectExtent l="0" t="0" r="0" b="0"/>
            <wp:docPr id="422797594" name="Picture 42279759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rPr>
          <w:rFonts w:ascii="Calibri" w:hAnsi="Calibri"/>
          <w:b/>
          <w:color w:val="000000"/>
        </w:rPr>
        <w:t xml:space="preserve"> </w:t>
      </w:r>
      <w:r>
        <w:rPr>
          <w:caps/>
          <w:noProof/>
          <w:lang w:eastAsia="en-GB"/>
        </w:rPr>
        <w:drawing>
          <wp:inline distT="0" distB="0" distL="0" distR="0" wp14:anchorId="2200D912" wp14:editId="1594461B">
            <wp:extent cx="251460" cy="251460"/>
            <wp:effectExtent l="0" t="0" r="0" b="0"/>
            <wp:docPr id="863950476" name="Picture 86395047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p>
    <w:p w14:paraId="24B51A54" w14:textId="743CB532" w:rsidR="00112092" w:rsidRPr="00D8350A" w:rsidRDefault="00112092" w:rsidP="00112092">
      <w:pPr>
        <w:jc w:val="both"/>
        <w:rPr>
          <w:rFonts w:ascii="Calibri" w:eastAsia="Calibri" w:hAnsi="Calibri" w:cs="Calibri"/>
          <w:bCs/>
        </w:rPr>
      </w:pPr>
      <w:r>
        <w:rPr>
          <w:rFonts w:ascii="Calibri" w:hAnsi="Calibri"/>
          <w:noProof/>
          <w:lang w:eastAsia="en-GB"/>
        </w:rPr>
        <w:drawing>
          <wp:anchor distT="0" distB="0" distL="114300" distR="114300" simplePos="0" relativeHeight="251658240" behindDoc="0" locked="0" layoutInCell="1" allowOverlap="1" wp14:anchorId="745246FB" wp14:editId="137A0ED6">
            <wp:simplePos x="0" y="0"/>
            <wp:positionH relativeFrom="margin">
              <wp:posOffset>-72390</wp:posOffset>
            </wp:positionH>
            <wp:positionV relativeFrom="paragraph">
              <wp:posOffset>45720</wp:posOffset>
            </wp:positionV>
            <wp:extent cx="540385" cy="540385"/>
            <wp:effectExtent l="0" t="0" r="0" b="0"/>
            <wp:wrapThrough wrapText="bothSides">
              <wp:wrapPolygon edited="0">
                <wp:start x="0" y="0"/>
                <wp:lineTo x="0" y="20559"/>
                <wp:lineTo x="20559" y="20559"/>
                <wp:lineTo x="20559" y="0"/>
                <wp:lineTo x="0" y="0"/>
              </wp:wrapPolygon>
            </wp:wrapThrough>
            <wp:docPr id="1960560536" name="Picture 1960560536" descr="https://encrypted-tbn1.gstatic.com/images?q=tbn:ANd9GcRfoxk8fxPcRRpV4V6Y6dltdAUt-l_BVqYwJgYJZ9PMM3BovATKzGERIQ">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https://encrypted-tbn1.gstatic.com/images?q=tbn:ANd9GcRfoxk8fxPcRRpV4V6Y6dltdAUt-l_BVqYwJgYJZ9PMM3BovATKzGERIQ">
                      <a:hlinkClick r:id="rId22"/>
                    </pic:cNvPr>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b/>
          <w:bCs/>
        </w:rPr>
        <w:t>About GL events:</w:t>
      </w:r>
      <w:r>
        <w:rPr>
          <w:rFonts w:ascii="Calibri" w:hAnsi="Calibri"/>
          <w:bCs/>
        </w:rPr>
        <w:t xml:space="preserve"> The Group is a world-class provider of integrated solutions and services for events operating across the three main market segments: conventions, conferences, congresses; cultural, sports and political events; trade shows / B2B and B2C exhibitions and consumer fairs. GL events' activities are organised into three major business divisions.</w:t>
      </w:r>
      <w:r>
        <w:rPr>
          <w:rFonts w:ascii="Calibri" w:hAnsi="Calibri"/>
          <w:b/>
          <w:bCs/>
        </w:rPr>
        <w:t xml:space="preserve"> GL events Live's</w:t>
      </w:r>
      <w:r>
        <w:rPr>
          <w:rFonts w:ascii="Calibri" w:hAnsi="Calibri"/>
          <w:bCs/>
        </w:rPr>
        <w:t xml:space="preserve"> expertise covers the complete range of business specialisations and services for corporate, institutional and sports events and offers turnkey solutions from consulting and design to staging the event itself. </w:t>
      </w:r>
      <w:r>
        <w:rPr>
          <w:rFonts w:ascii="Calibri" w:hAnsi="Calibri"/>
          <w:b/>
          <w:bCs/>
        </w:rPr>
        <w:t>GL events Exhibitions</w:t>
      </w:r>
      <w:r>
        <w:rPr>
          <w:rFonts w:ascii="Calibri" w:hAnsi="Calibri"/>
          <w:bCs/>
        </w:rPr>
        <w:t xml:space="preserve"> manages and coordinates the Group's portfolio of more than </w:t>
      </w:r>
      <w:r>
        <w:rPr>
          <w:rFonts w:ascii="Calibri" w:hAnsi="Calibri"/>
        </w:rPr>
        <w:t>200</w:t>
      </w:r>
      <w:r>
        <w:rPr>
          <w:rFonts w:ascii="Calibri" w:hAnsi="Calibri"/>
          <w:bCs/>
        </w:rPr>
        <w:t xml:space="preserve"> proprietary trade fairs covering a wide range of sectors: food industry, culture, textiles and fashion, manufacturing… </w:t>
      </w:r>
      <w:r>
        <w:rPr>
          <w:rFonts w:ascii="Calibri" w:hAnsi="Calibri"/>
          <w:b/>
          <w:bCs/>
        </w:rPr>
        <w:t>GL events Venues</w:t>
      </w:r>
      <w:r>
        <w:rPr>
          <w:rFonts w:ascii="Calibri" w:hAnsi="Calibri"/>
          <w:bCs/>
        </w:rPr>
        <w:t xml:space="preserve"> manages a network of 84 venues (convention and exhibition centres, concert halls and multi-purpose facilities) in France and international destinations.</w:t>
      </w:r>
    </w:p>
    <w:p w14:paraId="2314347F" w14:textId="7F314222" w:rsidR="00112092" w:rsidRPr="00D8350A" w:rsidRDefault="00112092" w:rsidP="00112092">
      <w:pPr>
        <w:jc w:val="both"/>
        <w:rPr>
          <w:rFonts w:ascii="Calibri" w:eastAsia="Calibri" w:hAnsi="Calibri" w:cs="Calibri"/>
          <w:bCs/>
        </w:rPr>
      </w:pPr>
      <w:r>
        <w:rPr>
          <w:rFonts w:ascii="Calibri" w:hAnsi="Calibri"/>
          <w:bCs/>
        </w:rPr>
        <w:t xml:space="preserve">Present on five continents with operations in more than 20 countries, GL events has </w:t>
      </w:r>
      <w:r>
        <w:rPr>
          <w:rFonts w:ascii="Calibri" w:hAnsi="Calibri"/>
        </w:rPr>
        <w:t>6,490</w:t>
      </w:r>
      <w:r>
        <w:rPr>
          <w:rFonts w:ascii="Calibri" w:hAnsi="Calibri"/>
          <w:bCs/>
        </w:rPr>
        <w:t> employees. GL events is listed on Euronext Paris, Compartment B (mid-caps).</w:t>
      </w:r>
    </w:p>
    <w:tbl>
      <w:tblPr>
        <w:tblW w:w="9072" w:type="dxa"/>
        <w:jc w:val="center"/>
        <w:tblBorders>
          <w:insideH w:val="single" w:sz="4" w:space="0" w:color="auto"/>
          <w:insideV w:val="single" w:sz="4" w:space="0" w:color="auto"/>
        </w:tblBorders>
        <w:shd w:val="clear" w:color="auto" w:fill="9CC2E5"/>
        <w:tblLayout w:type="fixed"/>
        <w:tblCellMar>
          <w:left w:w="70" w:type="dxa"/>
          <w:right w:w="70" w:type="dxa"/>
        </w:tblCellMar>
        <w:tblLook w:val="0000" w:firstRow="0" w:lastRow="0" w:firstColumn="0" w:lastColumn="0" w:noHBand="0" w:noVBand="0"/>
      </w:tblPr>
      <w:tblGrid>
        <w:gridCol w:w="3967"/>
        <w:gridCol w:w="5105"/>
      </w:tblGrid>
      <w:tr w:rsidR="00112092" w:rsidRPr="00112092" w14:paraId="5479103E" w14:textId="77777777" w:rsidTr="00112092">
        <w:trPr>
          <w:trHeight w:val="135"/>
          <w:jc w:val="center"/>
        </w:trPr>
        <w:tc>
          <w:tcPr>
            <w:tcW w:w="3967" w:type="dxa"/>
            <w:tcBorders>
              <w:top w:val="nil"/>
              <w:left w:val="nil"/>
              <w:bottom w:val="single" w:sz="18" w:space="0" w:color="9CC2E5"/>
              <w:right w:val="nil"/>
            </w:tcBorders>
          </w:tcPr>
          <w:p w14:paraId="592EAD40" w14:textId="77777777" w:rsidR="00112092" w:rsidRPr="00D8350A" w:rsidRDefault="00112092" w:rsidP="00112092">
            <w:pPr>
              <w:spacing w:before="100" w:beforeAutospacing="1" w:after="100" w:afterAutospacing="1"/>
              <w:rPr>
                <w:rFonts w:ascii="Montserrat" w:eastAsia="Calibri" w:hAnsi="Montserrat" w:cs="Calibri"/>
                <w:b/>
                <w:caps/>
              </w:rPr>
            </w:pPr>
            <w:r>
              <w:rPr>
                <w:rFonts w:ascii="Montserrat" w:hAnsi="Montserrat"/>
                <w:b/>
                <w:caps/>
              </w:rPr>
              <w:t>Investor Relations</w:t>
            </w:r>
          </w:p>
        </w:tc>
        <w:tc>
          <w:tcPr>
            <w:tcW w:w="5105" w:type="dxa"/>
            <w:tcBorders>
              <w:top w:val="nil"/>
              <w:left w:val="nil"/>
              <w:bottom w:val="single" w:sz="18" w:space="0" w:color="9CC2E5"/>
            </w:tcBorders>
          </w:tcPr>
          <w:p w14:paraId="6EB9442B" w14:textId="77777777" w:rsidR="00112092" w:rsidRPr="00D8350A" w:rsidRDefault="00112092" w:rsidP="00112092">
            <w:pPr>
              <w:spacing w:before="100" w:beforeAutospacing="1" w:after="100" w:afterAutospacing="1"/>
              <w:jc w:val="right"/>
              <w:rPr>
                <w:rFonts w:ascii="Montserrat" w:eastAsia="Calibri" w:hAnsi="Montserrat" w:cs="Calibri"/>
                <w:b/>
                <w:caps/>
              </w:rPr>
            </w:pPr>
            <w:r>
              <w:rPr>
                <w:rFonts w:ascii="Montserrat" w:hAnsi="Montserrat"/>
                <w:b/>
                <w:caps/>
              </w:rPr>
              <w:t>Media Relations</w:t>
            </w:r>
          </w:p>
        </w:tc>
      </w:tr>
      <w:tr w:rsidR="00112092" w:rsidRPr="00D8350A" w14:paraId="1625D175" w14:textId="77777777" w:rsidTr="00112092">
        <w:trPr>
          <w:trHeight w:val="825"/>
          <w:jc w:val="center"/>
        </w:trPr>
        <w:tc>
          <w:tcPr>
            <w:tcW w:w="3967" w:type="dxa"/>
            <w:tcBorders>
              <w:top w:val="single" w:sz="18" w:space="0" w:color="9CC2E5"/>
              <w:left w:val="nil"/>
              <w:bottom w:val="nil"/>
              <w:right w:val="nil"/>
            </w:tcBorders>
          </w:tcPr>
          <w:p w14:paraId="437106A5" w14:textId="77777777" w:rsidR="00112092" w:rsidRPr="007079CA" w:rsidRDefault="00112092" w:rsidP="00112092">
            <w:pPr>
              <w:spacing w:after="0"/>
              <w:jc w:val="both"/>
              <w:rPr>
                <w:rFonts w:ascii="Calibri" w:eastAsia="Calibri" w:hAnsi="Calibri" w:cs="Calibri"/>
                <w:b/>
                <w:bCs/>
                <w:lang w:val="fr-FR"/>
              </w:rPr>
            </w:pPr>
            <w:r w:rsidRPr="007079CA">
              <w:rPr>
                <w:rFonts w:ascii="Calibri" w:hAnsi="Calibri"/>
                <w:b/>
                <w:bCs/>
                <w:lang w:val="fr-FR"/>
              </w:rPr>
              <w:t>GL events</w:t>
            </w:r>
          </w:p>
          <w:p w14:paraId="6218C5E6" w14:textId="77777777" w:rsidR="00112092" w:rsidRPr="007079CA" w:rsidRDefault="00112092" w:rsidP="00112092">
            <w:pPr>
              <w:spacing w:after="0"/>
              <w:jc w:val="both"/>
              <w:rPr>
                <w:rFonts w:ascii="Calibri" w:eastAsia="Calibri" w:hAnsi="Calibri" w:cs="Calibri"/>
                <w:lang w:val="fr-FR"/>
              </w:rPr>
            </w:pPr>
            <w:r w:rsidRPr="007079CA">
              <w:rPr>
                <w:rFonts w:ascii="Calibri" w:hAnsi="Calibri"/>
                <w:lang w:val="fr-FR"/>
              </w:rPr>
              <w:t>Sylvain BECHET</w:t>
            </w:r>
          </w:p>
          <w:p w14:paraId="6B6D0036" w14:textId="77777777" w:rsidR="00112092" w:rsidRPr="007079CA" w:rsidRDefault="00112092" w:rsidP="00112092">
            <w:pPr>
              <w:spacing w:after="0"/>
              <w:jc w:val="both"/>
              <w:rPr>
                <w:rFonts w:ascii="Calibri" w:eastAsia="Calibri" w:hAnsi="Calibri" w:cs="Calibri"/>
                <w:lang w:val="fr-FR"/>
              </w:rPr>
            </w:pPr>
            <w:r w:rsidRPr="007079CA">
              <w:rPr>
                <w:rFonts w:ascii="Calibri" w:hAnsi="Calibri"/>
                <w:lang w:val="fr-FR"/>
              </w:rPr>
              <w:t>Tel.: +33 (0)4 72 31 54 20</w:t>
            </w:r>
          </w:p>
          <w:p w14:paraId="4FAE1AE4" w14:textId="1FBD6492" w:rsidR="00112092" w:rsidRPr="007079CA" w:rsidRDefault="00CD75CB" w:rsidP="00CD75CB">
            <w:pPr>
              <w:spacing w:after="0"/>
              <w:rPr>
                <w:rFonts w:ascii="Calibri" w:eastAsia="Calibri" w:hAnsi="Calibri" w:cs="Calibri"/>
                <w:lang w:val="fr-FR"/>
              </w:rPr>
            </w:pPr>
            <w:r w:rsidRPr="007079CA">
              <w:rPr>
                <w:rFonts w:ascii="Calibri" w:hAnsi="Calibri"/>
                <w:color w:val="0000FF"/>
                <w:u w:val="single"/>
                <w:lang w:val="fr-FR"/>
              </w:rPr>
              <w:t>finance@communication.gl-events.com</w:t>
            </w:r>
          </w:p>
        </w:tc>
        <w:tc>
          <w:tcPr>
            <w:tcW w:w="5105" w:type="dxa"/>
            <w:tcBorders>
              <w:top w:val="single" w:sz="18" w:space="0" w:color="9CC2E5"/>
              <w:left w:val="nil"/>
            </w:tcBorders>
          </w:tcPr>
          <w:p w14:paraId="654A7FA8" w14:textId="77777777" w:rsidR="00112092" w:rsidRPr="00D8350A" w:rsidRDefault="00112092" w:rsidP="00112092">
            <w:pPr>
              <w:spacing w:after="0"/>
              <w:jc w:val="right"/>
              <w:rPr>
                <w:rFonts w:ascii="Calibri" w:eastAsia="Calibri" w:hAnsi="Calibri" w:cs="Calibri"/>
                <w:b/>
              </w:rPr>
            </w:pPr>
            <w:r>
              <w:rPr>
                <w:rFonts w:ascii="Calibri" w:hAnsi="Calibri"/>
                <w:b/>
              </w:rPr>
              <w:t>FTI Consulting</w:t>
            </w:r>
          </w:p>
          <w:p w14:paraId="76104045" w14:textId="77777777" w:rsidR="00112092" w:rsidRPr="00D8350A" w:rsidRDefault="00112092" w:rsidP="00112092">
            <w:pPr>
              <w:spacing w:after="0"/>
              <w:jc w:val="right"/>
              <w:rPr>
                <w:rFonts w:ascii="Calibri" w:eastAsia="Calibri" w:hAnsi="Calibri" w:cs="Calibri"/>
              </w:rPr>
            </w:pPr>
            <w:r>
              <w:rPr>
                <w:rFonts w:ascii="Calibri" w:hAnsi="Calibri"/>
              </w:rPr>
              <w:t>Julien Durovray</w:t>
            </w:r>
          </w:p>
          <w:p w14:paraId="687E9B03" w14:textId="77777777" w:rsidR="00112092" w:rsidRPr="00D8350A" w:rsidRDefault="00112092" w:rsidP="00112092">
            <w:pPr>
              <w:spacing w:after="0"/>
              <w:jc w:val="right"/>
              <w:rPr>
                <w:rFonts w:ascii="Calibri" w:eastAsia="Calibri" w:hAnsi="Calibri" w:cs="Calibri"/>
              </w:rPr>
            </w:pPr>
            <w:r>
              <w:rPr>
                <w:rFonts w:ascii="Calibri" w:hAnsi="Calibri"/>
              </w:rPr>
              <w:t>Tel.: +33 (0)6 25 04 57 73</w:t>
            </w:r>
          </w:p>
          <w:p w14:paraId="5C0DBD58" w14:textId="77777777" w:rsidR="00112092" w:rsidRPr="00D8350A" w:rsidRDefault="00ED79B3" w:rsidP="00112092">
            <w:pPr>
              <w:spacing w:after="0"/>
              <w:jc w:val="right"/>
              <w:rPr>
                <w:rFonts w:ascii="Calibri" w:eastAsia="Calibri" w:hAnsi="Calibri" w:cs="Calibri"/>
                <w:b/>
              </w:rPr>
            </w:pPr>
            <w:hyperlink r:id="rId24" w:history="1">
              <w:r>
                <w:rPr>
                  <w:rFonts w:ascii="Calibri" w:hAnsi="Calibri"/>
                  <w:color w:val="0000FF"/>
                  <w:u w:val="single"/>
                </w:rPr>
                <w:t>glevents@fticonsulting.com</w:t>
              </w:r>
            </w:hyperlink>
            <w:r>
              <w:rPr>
                <w:rFonts w:ascii="Calibri" w:hAnsi="Calibri"/>
              </w:rPr>
              <w:t xml:space="preserve"> </w:t>
            </w:r>
          </w:p>
        </w:tc>
      </w:tr>
    </w:tbl>
    <w:tbl>
      <w:tblPr>
        <w:tblStyle w:val="Grilledutableau"/>
        <w:tblW w:w="0" w:type="auto"/>
        <w:tblBorders>
          <w:top w:val="none" w:sz="0" w:space="0" w:color="auto"/>
          <w:left w:val="none" w:sz="0" w:space="0" w:color="auto"/>
          <w:bottom w:val="single" w:sz="4" w:space="0" w:color="9CC2E5"/>
          <w:right w:val="none" w:sz="0" w:space="0" w:color="auto"/>
          <w:insideH w:val="none" w:sz="0" w:space="0" w:color="auto"/>
          <w:insideV w:val="none" w:sz="0" w:space="0" w:color="auto"/>
        </w:tblBorders>
        <w:tblLook w:val="04A0" w:firstRow="1" w:lastRow="0" w:firstColumn="1" w:lastColumn="0" w:noHBand="0" w:noVBand="1"/>
      </w:tblPr>
      <w:tblGrid>
        <w:gridCol w:w="9026"/>
      </w:tblGrid>
      <w:tr w:rsidR="00112092" w:rsidRPr="00D8350A" w14:paraId="2064A89E" w14:textId="77777777" w:rsidTr="00A9467A">
        <w:trPr>
          <w:trHeight w:val="850"/>
        </w:trPr>
        <w:tc>
          <w:tcPr>
            <w:tcW w:w="9026" w:type="dxa"/>
          </w:tcPr>
          <w:p w14:paraId="43E12BFA" w14:textId="77777777" w:rsidR="00112092" w:rsidRPr="00680052" w:rsidRDefault="00112092" w:rsidP="00112092">
            <w:pPr>
              <w:spacing w:line="240" w:lineRule="auto"/>
              <w:jc w:val="center"/>
              <w:rPr>
                <w:rFonts w:ascii="Calibri" w:eastAsia="Times New Roman" w:hAnsi="Calibri" w:cs="Calibri"/>
                <w:b/>
                <w:caps/>
                <w:sz w:val="20"/>
                <w:szCs w:val="20"/>
                <w:lang w:eastAsia="fr-FR"/>
              </w:rPr>
            </w:pPr>
          </w:p>
          <w:p w14:paraId="3060F1AF" w14:textId="77777777" w:rsidR="00112092" w:rsidRPr="00680052" w:rsidRDefault="00112092" w:rsidP="00112092">
            <w:pPr>
              <w:spacing w:line="240" w:lineRule="auto"/>
              <w:jc w:val="center"/>
              <w:rPr>
                <w:rFonts w:ascii="Calibri" w:eastAsia="Times New Roman" w:hAnsi="Calibri" w:cs="Calibri"/>
                <w:b/>
                <w:caps/>
              </w:rPr>
            </w:pPr>
            <w:r>
              <w:rPr>
                <w:rFonts w:ascii="Calibri" w:hAnsi="Calibri"/>
                <w:b/>
                <w:caps/>
              </w:rPr>
              <w:t>ISIN FR0000066672 - Bloomberg GLO FP - REFINITIV GLTN.PA - FTSE 581</w:t>
            </w:r>
          </w:p>
          <w:p w14:paraId="2F926ABB" w14:textId="2DD49CEF" w:rsidR="00A9467A" w:rsidRPr="00D8350A" w:rsidRDefault="00112092" w:rsidP="00081A23">
            <w:pPr>
              <w:spacing w:line="240" w:lineRule="auto"/>
              <w:jc w:val="center"/>
              <w:rPr>
                <w:rFonts w:ascii="Calibri" w:eastAsia="Times New Roman" w:hAnsi="Calibri" w:cs="Calibri"/>
                <w:b/>
                <w:caps/>
                <w:sz w:val="20"/>
                <w:szCs w:val="20"/>
              </w:rPr>
            </w:pPr>
            <w:r>
              <w:rPr>
                <w:rFonts w:ascii="Calibri" w:hAnsi="Calibri"/>
                <w:b/>
                <w:caps/>
              </w:rPr>
              <w:t>LEI 9695002PXZMQNBPY2P44</w:t>
            </w:r>
            <w:r>
              <w:rPr>
                <w:rFonts w:ascii="Calibri" w:hAnsi="Calibri"/>
                <w:b/>
                <w:caps/>
                <w:sz w:val="20"/>
                <w:szCs w:val="20"/>
              </w:rPr>
              <w:br/>
            </w:r>
          </w:p>
          <w:p w14:paraId="12249494" w14:textId="4C11C6E3" w:rsidR="00A9467A" w:rsidRPr="00D8350A" w:rsidRDefault="00A9467A" w:rsidP="00A9467A">
            <w:pPr>
              <w:spacing w:line="240" w:lineRule="auto"/>
              <w:jc w:val="center"/>
              <w:rPr>
                <w:rFonts w:ascii="Calibri" w:eastAsia="Times New Roman" w:hAnsi="Calibri" w:cs="Calibri"/>
                <w:b/>
                <w:caps/>
                <w:sz w:val="20"/>
                <w:szCs w:val="20"/>
                <w:lang w:eastAsia="fr-FR"/>
              </w:rPr>
            </w:pPr>
          </w:p>
        </w:tc>
      </w:tr>
    </w:tbl>
    <w:p w14:paraId="7D187010" w14:textId="242051F2" w:rsidR="00E62067" w:rsidRPr="00112092" w:rsidRDefault="00E62067" w:rsidP="00E62067">
      <w:pPr>
        <w:shd w:val="clear" w:color="auto" w:fill="DEEAF6"/>
        <w:jc w:val="center"/>
        <w:rPr>
          <w:rFonts w:ascii="Montserrat" w:eastAsia="Calibri" w:hAnsi="Montserrat" w:cs="Calibri"/>
          <w:b/>
          <w:bCs/>
        </w:rPr>
      </w:pPr>
      <w:r>
        <w:rPr>
          <w:rFonts w:ascii="Montserrat" w:hAnsi="Montserrat"/>
          <w:b/>
          <w:bCs/>
        </w:rPr>
        <w:t>DEFINITIONS</w:t>
      </w:r>
    </w:p>
    <w:p w14:paraId="4CB1210F" w14:textId="77777777" w:rsidR="00E62067" w:rsidRPr="00986256" w:rsidRDefault="00E62067" w:rsidP="00E62067">
      <w:pPr>
        <w:spacing w:after="120" w:line="240" w:lineRule="auto"/>
        <w:jc w:val="both"/>
        <w:rPr>
          <w:rFonts w:ascii="Calibri" w:eastAsia="Calibri" w:hAnsi="Calibri" w:cs="Arial"/>
        </w:rPr>
      </w:pPr>
      <w:r>
        <w:rPr>
          <w:rFonts w:ascii="Calibri" w:hAnsi="Calibri"/>
          <w:b/>
          <w:bCs/>
        </w:rPr>
        <w:t>Constant exchange rates</w:t>
      </w:r>
      <w:r>
        <w:rPr>
          <w:rFonts w:ascii="Calibri" w:hAnsi="Calibri"/>
        </w:rPr>
        <w:t>: average exchange rate of N applied to the previous period (N-1)</w:t>
      </w:r>
    </w:p>
    <w:p w14:paraId="424E15D7" w14:textId="77777777" w:rsidR="00E62067" w:rsidRPr="00986256" w:rsidRDefault="00E62067" w:rsidP="00E62067">
      <w:pPr>
        <w:spacing w:after="120" w:line="240" w:lineRule="auto"/>
        <w:jc w:val="both"/>
        <w:rPr>
          <w:rFonts w:ascii="Calibri" w:eastAsia="Calibri" w:hAnsi="Calibri" w:cs="Arial"/>
        </w:rPr>
      </w:pPr>
      <w:r>
        <w:rPr>
          <w:rFonts w:ascii="Calibri" w:hAnsi="Calibri"/>
          <w:b/>
          <w:bCs/>
        </w:rPr>
        <w:t>Organic growth</w:t>
      </w:r>
      <w:r>
        <w:rPr>
          <w:rFonts w:ascii="Calibri" w:hAnsi="Calibri"/>
        </w:rPr>
        <w:t xml:space="preserve">: growth in revenue excluding changes in the scope of consolidation </w:t>
      </w:r>
    </w:p>
    <w:p w14:paraId="48A8A755" w14:textId="77777777" w:rsidR="00E62067" w:rsidRPr="00986256" w:rsidRDefault="00E62067" w:rsidP="00E62067">
      <w:pPr>
        <w:spacing w:after="120" w:line="240" w:lineRule="auto"/>
        <w:jc w:val="both"/>
        <w:rPr>
          <w:rFonts w:ascii="Calibri" w:eastAsia="Calibri" w:hAnsi="Calibri" w:cs="Arial"/>
          <w:b/>
          <w:bCs/>
        </w:rPr>
      </w:pPr>
      <w:r>
        <w:rPr>
          <w:rFonts w:ascii="Calibri" w:hAnsi="Calibri"/>
          <w:b/>
          <w:bCs/>
        </w:rPr>
        <w:t>Constant structure</w:t>
      </w:r>
    </w:p>
    <w:p w14:paraId="092833A3" w14:textId="77777777" w:rsidR="00E62067" w:rsidRPr="00986256" w:rsidRDefault="00E62067" w:rsidP="00E62067">
      <w:pPr>
        <w:numPr>
          <w:ilvl w:val="0"/>
          <w:numId w:val="7"/>
        </w:numPr>
        <w:spacing w:after="120" w:line="256" w:lineRule="auto"/>
        <w:contextualSpacing/>
        <w:jc w:val="both"/>
        <w:rPr>
          <w:rFonts w:ascii="Calibri" w:eastAsia="Calibri" w:hAnsi="Calibri" w:cs="Arial"/>
        </w:rPr>
      </w:pPr>
      <w:r>
        <w:rPr>
          <w:rFonts w:ascii="Calibri" w:hAnsi="Calibri"/>
        </w:rPr>
        <w:t>For acquisitions of the period: by adding to revenue of prior periods the sales of the acquired company</w:t>
      </w:r>
    </w:p>
    <w:p w14:paraId="665199D4" w14:textId="77777777" w:rsidR="00E62067" w:rsidRPr="00986256" w:rsidRDefault="00E62067" w:rsidP="00E62067">
      <w:pPr>
        <w:numPr>
          <w:ilvl w:val="0"/>
          <w:numId w:val="7"/>
        </w:numPr>
        <w:spacing w:after="120" w:line="256" w:lineRule="auto"/>
        <w:contextualSpacing/>
        <w:jc w:val="both"/>
        <w:rPr>
          <w:rFonts w:ascii="Calibri" w:eastAsia="Calibri" w:hAnsi="Calibri" w:cs="Arial"/>
        </w:rPr>
      </w:pPr>
      <w:r>
        <w:rPr>
          <w:rFonts w:ascii="Calibri" w:hAnsi="Calibri"/>
        </w:rPr>
        <w:t>For disposals of the period: by subtracting from revenue of prior periods the sales of the company sold</w:t>
      </w:r>
    </w:p>
    <w:p w14:paraId="63873AE5" w14:textId="77777777" w:rsidR="00E62067" w:rsidRPr="00986256" w:rsidRDefault="00E62067" w:rsidP="00E62067">
      <w:pPr>
        <w:spacing w:after="120" w:line="256" w:lineRule="auto"/>
        <w:jc w:val="both"/>
        <w:rPr>
          <w:rFonts w:ascii="Calibri" w:eastAsia="Calibri" w:hAnsi="Calibri" w:cs="Arial"/>
        </w:rPr>
      </w:pPr>
      <w:r>
        <w:rPr>
          <w:rFonts w:ascii="Calibri" w:hAnsi="Calibri"/>
          <w:b/>
          <w:bCs/>
        </w:rPr>
        <w:t>LFL</w:t>
      </w:r>
      <w:r>
        <w:rPr>
          <w:rFonts w:ascii="Calibri" w:hAnsi="Calibri"/>
        </w:rPr>
        <w:t>: like-for-like defined as at constant structure and exchange rates (see the definitions above for "constant structure" and "constant exchange rates")</w:t>
      </w:r>
    </w:p>
    <w:p w14:paraId="648E9726" w14:textId="13530112" w:rsidR="00E62067" w:rsidRDefault="00E62067" w:rsidP="00E62067">
      <w:pPr>
        <w:spacing w:after="120" w:line="256" w:lineRule="auto"/>
        <w:rPr>
          <w:rFonts w:ascii="Calibri" w:eastAsia="Calibri" w:hAnsi="Calibri" w:cs="Arial"/>
        </w:rPr>
      </w:pPr>
      <w:r>
        <w:rPr>
          <w:rFonts w:ascii="Calibri" w:hAnsi="Calibri"/>
          <w:b/>
          <w:bCs/>
        </w:rPr>
        <w:t>IAS 29</w:t>
      </w:r>
      <w:r>
        <w:rPr>
          <w:rFonts w:ascii="Calibri" w:hAnsi="Calibri"/>
        </w:rPr>
        <w:t xml:space="preserve">: Financial Reporting in Hyperinflationary Economies </w:t>
      </w:r>
      <w:r w:rsidR="004F2B86">
        <w:rPr>
          <w:rFonts w:ascii="Calibri" w:hAnsi="Calibri"/>
        </w:rPr>
        <w:t xml:space="preserve">for </w:t>
      </w:r>
      <w:r>
        <w:rPr>
          <w:rFonts w:ascii="Calibri" w:hAnsi="Calibri"/>
        </w:rPr>
        <w:t>the Group, Turkey is included in the list of countries covered by this standard. In consequence, the accounts of the Group’s Turkish companies are henceforth translated at the closing rate and no longer at the average rate for the period.</w:t>
      </w:r>
    </w:p>
    <w:sectPr w:rsidR="00E62067" w:rsidSect="00F74AD0">
      <w:headerReference w:type="default" r:id="rId25"/>
      <w:footerReference w:type="default" r:id="rId26"/>
      <w:pgSz w:w="11906" w:h="16838"/>
      <w:pgMar w:top="1440" w:right="1440" w:bottom="1440" w:left="1440" w:header="708" w:footer="5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A7D1" w14:textId="77777777" w:rsidR="002F1FEE" w:rsidRDefault="002F1FEE" w:rsidP="009943FD">
      <w:pPr>
        <w:spacing w:after="0" w:line="240" w:lineRule="auto"/>
      </w:pPr>
      <w:r>
        <w:separator/>
      </w:r>
    </w:p>
  </w:endnote>
  <w:endnote w:type="continuationSeparator" w:id="0">
    <w:p w14:paraId="5EC160DA" w14:textId="77777777" w:rsidR="002F1FEE" w:rsidRDefault="002F1FEE" w:rsidP="009943FD">
      <w:pPr>
        <w:spacing w:after="0" w:line="240" w:lineRule="auto"/>
      </w:pPr>
      <w:r>
        <w:continuationSeparator/>
      </w:r>
    </w:p>
  </w:endnote>
  <w:endnote w:type="continuationNotice" w:id="1">
    <w:p w14:paraId="0594013F" w14:textId="77777777" w:rsidR="002F1FEE" w:rsidRDefault="002F1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256576872"/>
      <w:docPartObj>
        <w:docPartGallery w:val="Page Numbers (Bottom of Page)"/>
        <w:docPartUnique/>
      </w:docPartObj>
    </w:sdtPr>
    <w:sdtEndPr/>
    <w:sdtContent>
      <w:sdt>
        <w:sdtPr>
          <w:rPr>
            <w:rFonts w:ascii="Calibri" w:hAnsi="Calibri" w:cs="Calibri"/>
            <w:sz w:val="20"/>
            <w:szCs w:val="20"/>
          </w:rPr>
          <w:id w:val="1728636285"/>
          <w:docPartObj>
            <w:docPartGallery w:val="Page Numbers (Top of Page)"/>
            <w:docPartUnique/>
          </w:docPartObj>
        </w:sdtPr>
        <w:sdtEndPr/>
        <w:sdtContent>
          <w:p w14:paraId="7CDCABE3" w14:textId="4916B837" w:rsidR="00E4031C" w:rsidRPr="001626F1" w:rsidRDefault="00E4031C">
            <w:pPr>
              <w:pStyle w:val="Pieddepage"/>
              <w:jc w:val="center"/>
              <w:rPr>
                <w:rFonts w:ascii="Calibri" w:hAnsi="Calibri" w:cs="Calibri"/>
                <w:sz w:val="20"/>
                <w:szCs w:val="20"/>
              </w:rPr>
            </w:pPr>
            <w:r>
              <w:t xml:space="preserve">Page </w:t>
            </w:r>
            <w:r w:rsidRPr="001626F1">
              <w:rPr>
                <w:rFonts w:ascii="Calibri" w:hAnsi="Calibri" w:cs="Calibri"/>
                <w:b/>
                <w:bCs/>
                <w:sz w:val="20"/>
                <w:szCs w:val="20"/>
              </w:rPr>
              <w:fldChar w:fldCharType="begin"/>
            </w:r>
            <w:r w:rsidRPr="001626F1">
              <w:rPr>
                <w:rFonts w:ascii="Calibri" w:hAnsi="Calibri" w:cs="Calibri"/>
                <w:b/>
                <w:bCs/>
                <w:sz w:val="20"/>
                <w:szCs w:val="20"/>
              </w:rPr>
              <w:instrText>PAGE</w:instrText>
            </w:r>
            <w:r w:rsidRPr="001626F1">
              <w:rPr>
                <w:rFonts w:ascii="Calibri" w:hAnsi="Calibri" w:cs="Calibri"/>
                <w:b/>
                <w:bCs/>
                <w:sz w:val="20"/>
                <w:szCs w:val="20"/>
              </w:rPr>
              <w:fldChar w:fldCharType="separate"/>
            </w:r>
            <w:r w:rsidR="005561AA">
              <w:rPr>
                <w:rFonts w:ascii="Calibri" w:hAnsi="Calibri" w:cs="Calibri"/>
                <w:b/>
                <w:bCs/>
                <w:noProof/>
                <w:sz w:val="20"/>
                <w:szCs w:val="20"/>
              </w:rPr>
              <w:t>1</w:t>
            </w:r>
            <w:r w:rsidRPr="001626F1">
              <w:rPr>
                <w:rFonts w:ascii="Calibri" w:hAnsi="Calibri" w:cs="Calibri"/>
                <w:b/>
                <w:bCs/>
                <w:sz w:val="20"/>
                <w:szCs w:val="20"/>
              </w:rPr>
              <w:fldChar w:fldCharType="end"/>
            </w:r>
            <w:r>
              <w:t xml:space="preserve"> of </w:t>
            </w:r>
            <w:r w:rsidRPr="001626F1">
              <w:rPr>
                <w:rFonts w:ascii="Calibri" w:hAnsi="Calibri" w:cs="Calibri"/>
                <w:b/>
                <w:bCs/>
                <w:sz w:val="20"/>
                <w:szCs w:val="20"/>
              </w:rPr>
              <w:fldChar w:fldCharType="begin"/>
            </w:r>
            <w:r w:rsidRPr="001626F1">
              <w:rPr>
                <w:rFonts w:ascii="Calibri" w:hAnsi="Calibri" w:cs="Calibri"/>
                <w:b/>
                <w:bCs/>
                <w:sz w:val="20"/>
                <w:szCs w:val="20"/>
              </w:rPr>
              <w:instrText>NUMPAGES</w:instrText>
            </w:r>
            <w:r w:rsidRPr="001626F1">
              <w:rPr>
                <w:rFonts w:ascii="Calibri" w:hAnsi="Calibri" w:cs="Calibri"/>
                <w:b/>
                <w:bCs/>
                <w:sz w:val="20"/>
                <w:szCs w:val="20"/>
              </w:rPr>
              <w:fldChar w:fldCharType="separate"/>
            </w:r>
            <w:r w:rsidR="005561AA">
              <w:rPr>
                <w:rFonts w:ascii="Calibri" w:hAnsi="Calibri" w:cs="Calibri"/>
                <w:b/>
                <w:bCs/>
                <w:noProof/>
                <w:sz w:val="20"/>
                <w:szCs w:val="20"/>
              </w:rPr>
              <w:t>4</w:t>
            </w:r>
            <w:r w:rsidRPr="001626F1">
              <w:rPr>
                <w:rFonts w:ascii="Calibri" w:hAnsi="Calibri" w:cs="Calibri"/>
                <w:b/>
                <w:bCs/>
                <w:sz w:val="20"/>
                <w:szCs w:val="20"/>
              </w:rPr>
              <w:fldChar w:fldCharType="end"/>
            </w:r>
          </w:p>
        </w:sdtContent>
      </w:sdt>
    </w:sdtContent>
  </w:sdt>
  <w:p w14:paraId="4C51621D" w14:textId="77777777" w:rsidR="00D36435" w:rsidRPr="00E4031C" w:rsidRDefault="00D36435">
    <w:pPr>
      <w:pStyle w:val="Pieddepage"/>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A0BC5" w14:textId="77777777" w:rsidR="002F1FEE" w:rsidRDefault="002F1FEE" w:rsidP="009943FD">
      <w:pPr>
        <w:spacing w:after="0" w:line="240" w:lineRule="auto"/>
      </w:pPr>
      <w:r>
        <w:separator/>
      </w:r>
    </w:p>
  </w:footnote>
  <w:footnote w:type="continuationSeparator" w:id="0">
    <w:p w14:paraId="3C43D909" w14:textId="77777777" w:rsidR="002F1FEE" w:rsidRDefault="002F1FEE" w:rsidP="009943FD">
      <w:pPr>
        <w:spacing w:after="0" w:line="240" w:lineRule="auto"/>
      </w:pPr>
      <w:r>
        <w:continuationSeparator/>
      </w:r>
    </w:p>
  </w:footnote>
  <w:footnote w:type="continuationNotice" w:id="1">
    <w:p w14:paraId="5B5CBF4C" w14:textId="77777777" w:rsidR="002F1FEE" w:rsidRDefault="002F1FEE">
      <w:pPr>
        <w:spacing w:after="0" w:line="240" w:lineRule="auto"/>
      </w:pPr>
    </w:p>
  </w:footnote>
  <w:footnote w:id="2">
    <w:p w14:paraId="46A0A33A" w14:textId="4B21DBB9" w:rsidR="00FA4CDE" w:rsidRPr="005561AA" w:rsidRDefault="00FA4CDE">
      <w:pPr>
        <w:pStyle w:val="Notedebasdepage"/>
        <w:rPr>
          <w:sz w:val="18"/>
        </w:rPr>
      </w:pPr>
      <w:r w:rsidRPr="005561AA">
        <w:rPr>
          <w:rStyle w:val="Appelnotedebasdep"/>
          <w:sz w:val="18"/>
        </w:rPr>
        <w:footnoteRef/>
      </w:r>
      <w:r w:rsidRPr="005561AA">
        <w:rPr>
          <w:sz w:val="18"/>
        </w:rPr>
        <w:t xml:space="preserve"> Definition provided at the end of the press release.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single" w:sz="18" w:space="0" w:color="9CC2E5"/>
        <w:right w:val="none" w:sz="0" w:space="0" w:color="auto"/>
        <w:insideH w:val="none" w:sz="0" w:space="0" w:color="auto"/>
        <w:insideV w:val="none" w:sz="0" w:space="0" w:color="auto"/>
      </w:tblBorders>
      <w:tblLook w:val="04A0" w:firstRow="1" w:lastRow="0" w:firstColumn="1" w:lastColumn="0" w:noHBand="0" w:noVBand="1"/>
    </w:tblPr>
    <w:tblGrid>
      <w:gridCol w:w="9026"/>
    </w:tblGrid>
    <w:tr w:rsidR="000E21E3" w:rsidRPr="00112092" w14:paraId="1EF5D2D1" w14:textId="77777777" w:rsidTr="00112092">
      <w:tc>
        <w:tcPr>
          <w:tcW w:w="9026" w:type="dxa"/>
        </w:tcPr>
        <w:p w14:paraId="69B7EAA5" w14:textId="01B83D38" w:rsidR="000E21E3" w:rsidRPr="000E21E3" w:rsidRDefault="000E21E3" w:rsidP="000E21E3">
          <w:pPr>
            <w:jc w:val="right"/>
            <w:rPr>
              <w:rFonts w:ascii="Montserrat" w:hAnsi="Montserrat"/>
              <w:b/>
              <w:caps/>
              <w:sz w:val="16"/>
              <w:szCs w:val="16"/>
            </w:rPr>
          </w:pPr>
          <w:r>
            <w:tab/>
          </w:r>
          <w:r>
            <w:rPr>
              <w:b/>
              <w:noProof/>
              <w:lang w:eastAsia="en-GB"/>
            </w:rPr>
            <w:drawing>
              <wp:anchor distT="0" distB="0" distL="114300" distR="114300" simplePos="0" relativeHeight="251658240" behindDoc="0" locked="0" layoutInCell="1" allowOverlap="1" wp14:anchorId="57A55552" wp14:editId="7CC709DF">
                <wp:simplePos x="0" y="0"/>
                <wp:positionH relativeFrom="column">
                  <wp:posOffset>-87630</wp:posOffset>
                </wp:positionH>
                <wp:positionV relativeFrom="paragraph">
                  <wp:posOffset>-12169</wp:posOffset>
                </wp:positionV>
                <wp:extent cx="499745" cy="497840"/>
                <wp:effectExtent l="152400" t="152400" r="338455" b="340360"/>
                <wp:wrapNone/>
                <wp:docPr id="997079602" name="Picture 2091960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pic:cNvPicPr>
                          <a:picLocks noChangeAspect="1"/>
                        </pic:cNvPicPr>
                      </pic:nvPicPr>
                      <pic:blipFill>
                        <a:blip r:embed="rId1"/>
                        <a:srcRect/>
                        <a:stretch>
                          <a:fillRect/>
                        </a:stretch>
                      </pic:blipFill>
                      <pic:spPr bwMode="auto">
                        <a:xfrm>
                          <a:off x="0" y="0"/>
                          <a:ext cx="499745" cy="497840"/>
                        </a:xfrm>
                        <a:prstGeom prst="rect">
                          <a:avLst/>
                        </a:prstGeom>
                        <a:ln>
                          <a:noFill/>
                        </a:ln>
                        <a:effectLst>
                          <a:outerShdw blurRad="292100" dist="139700" dir="2700000" algn="tl" rotWithShape="0">
                            <a:srgbClr val="333333">
                              <a:alpha val="65000"/>
                            </a:srgbClr>
                          </a:outerShdw>
                        </a:effectLst>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Pr>
              <w:rFonts w:ascii="Montserrat" w:hAnsi="Montserrat"/>
              <w:b/>
              <w:caps/>
              <w:sz w:val="16"/>
              <w:szCs w:val="16"/>
            </w:rPr>
            <w:t>PRESS RELEASE</w:t>
          </w:r>
        </w:p>
        <w:p w14:paraId="4FB19F72" w14:textId="53DCC281" w:rsidR="000E21E3" w:rsidRPr="000E21E3" w:rsidRDefault="000E21E3" w:rsidP="000E21E3">
          <w:pPr>
            <w:jc w:val="right"/>
            <w:rPr>
              <w:rFonts w:ascii="Montserrat" w:hAnsi="Montserrat"/>
              <w:b/>
              <w:caps/>
              <w:sz w:val="16"/>
              <w:szCs w:val="16"/>
            </w:rPr>
          </w:pPr>
          <w:r>
            <w:rPr>
              <w:rFonts w:ascii="Montserrat" w:hAnsi="Montserrat"/>
              <w:b/>
              <w:caps/>
              <w:sz w:val="16"/>
              <w:szCs w:val="16"/>
            </w:rPr>
            <w:t>Lyon, 15 April 2026</w:t>
          </w:r>
          <w:r>
            <w:rPr>
              <w:rFonts w:ascii="Montserrat" w:hAnsi="Montserrat"/>
              <w:bCs/>
              <w:caps/>
              <w:sz w:val="16"/>
              <w:szCs w:val="16"/>
            </w:rPr>
            <w:t xml:space="preserve"> </w:t>
          </w:r>
          <w:r>
            <w:rPr>
              <w:rFonts w:ascii="Montserrat" w:hAnsi="Montserrat"/>
              <w:caps/>
              <w:sz w:val="16"/>
              <w:szCs w:val="16"/>
            </w:rPr>
            <w:t>- 6.00 pm</w:t>
          </w:r>
        </w:p>
        <w:p w14:paraId="6C3EBAA5" w14:textId="77777777" w:rsidR="000E21E3" w:rsidRPr="000E21E3" w:rsidRDefault="000E21E3" w:rsidP="000E21E3">
          <w:pPr>
            <w:jc w:val="right"/>
            <w:rPr>
              <w:rFonts w:ascii="Montserrat" w:hAnsi="Montserrat"/>
              <w:b/>
              <w:caps/>
              <w:sz w:val="16"/>
              <w:szCs w:val="16"/>
            </w:rPr>
          </w:pPr>
        </w:p>
        <w:p w14:paraId="3D8B2ACD" w14:textId="77777777" w:rsidR="000E21E3" w:rsidRPr="00112092" w:rsidRDefault="000E21E3" w:rsidP="000E21E3">
          <w:pPr>
            <w:jc w:val="right"/>
            <w:rPr>
              <w:rFonts w:ascii="Montserrat" w:hAnsi="Montserrat" w:cs="Calibri"/>
              <w:bCs/>
              <w:sz w:val="16"/>
              <w:szCs w:val="16"/>
            </w:rPr>
          </w:pPr>
          <w:r>
            <w:rPr>
              <w:rFonts w:ascii="Montserrat" w:hAnsi="Montserrat"/>
              <w:bCs/>
              <w:caps/>
              <w:sz w:val="16"/>
              <w:szCs w:val="16"/>
            </w:rPr>
            <w:t>#Glevents – Welcome to the world of events</w:t>
          </w:r>
        </w:p>
      </w:tc>
    </w:tr>
    <w:tr w:rsidR="00AE6710" w:rsidRPr="00112092" w14:paraId="6AFDEE43" w14:textId="77777777" w:rsidTr="00112092">
      <w:tc>
        <w:tcPr>
          <w:tcW w:w="9026" w:type="dxa"/>
        </w:tcPr>
        <w:p w14:paraId="3CB0F042" w14:textId="77777777" w:rsidR="00AE6710" w:rsidRDefault="00AE6710" w:rsidP="000E21E3">
          <w:pPr>
            <w:jc w:val="right"/>
            <w:rPr>
              <w:b/>
              <w:noProof/>
              <w:lang w:eastAsia="en-GB"/>
            </w:rPr>
          </w:pPr>
        </w:p>
      </w:tc>
    </w:tr>
  </w:tbl>
  <w:p w14:paraId="3EA1B422" w14:textId="385BDD48" w:rsidR="009943FD" w:rsidRPr="009943FD" w:rsidRDefault="009943FD" w:rsidP="000E21E3">
    <w:pPr>
      <w:pStyle w:val="En-tte"/>
      <w:tabs>
        <w:tab w:val="clear" w:pos="4513"/>
        <w:tab w:val="clear" w:pos="9026"/>
        <w:tab w:val="left" w:pos="249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36FE"/>
    <w:multiLevelType w:val="hybridMultilevel"/>
    <w:tmpl w:val="CBEC9F3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B306CB"/>
    <w:multiLevelType w:val="hybridMultilevel"/>
    <w:tmpl w:val="7A50C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96D3AA2"/>
    <w:multiLevelType w:val="hybridMultilevel"/>
    <w:tmpl w:val="229040B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B1556F"/>
    <w:multiLevelType w:val="hybridMultilevel"/>
    <w:tmpl w:val="E95C287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E777E73"/>
    <w:multiLevelType w:val="hybridMultilevel"/>
    <w:tmpl w:val="1B282D02"/>
    <w:lvl w:ilvl="0" w:tplc="FFFFFFFF">
      <w:start w:val="1"/>
      <w:numFmt w:val="bullet"/>
      <w:lvlText w:val=""/>
      <w:lvlJc w:val="left"/>
      <w:pPr>
        <w:ind w:left="720" w:hanging="360"/>
      </w:pPr>
      <w:rPr>
        <w:rFonts w:ascii="Wingdings" w:hAnsi="Wingdings" w:hint="default"/>
        <w:color w:val="156082" w:themeColor="accent1"/>
      </w:rPr>
    </w:lvl>
    <w:lvl w:ilvl="1" w:tplc="AAA65808">
      <w:start w:val="1"/>
      <w:numFmt w:val="bullet"/>
      <w:lvlText w:val="."/>
      <w:lvlJc w:val="left"/>
      <w:pPr>
        <w:ind w:left="1440" w:hanging="360"/>
      </w:pPr>
      <w:rPr>
        <w:rFonts w:ascii="Courier New" w:hAnsi="Courier New" w:hint="default"/>
        <w:color w:val="D86DCB" w:themeColor="accent5" w:themeTint="99"/>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A6B4F4F"/>
    <w:multiLevelType w:val="hybridMultilevel"/>
    <w:tmpl w:val="AADE8654"/>
    <w:lvl w:ilvl="0" w:tplc="F89E745E">
      <w:start w:val="1"/>
      <w:numFmt w:val="bullet"/>
      <w:lvlText w:val=""/>
      <w:lvlJc w:val="left"/>
      <w:pPr>
        <w:ind w:left="720" w:hanging="360"/>
      </w:pPr>
      <w:rPr>
        <w:rFonts w:ascii="Wingdings" w:hAnsi="Wingdings" w:hint="default"/>
        <w:color w:val="156082" w:themeColor="accent1"/>
      </w:rPr>
    </w:lvl>
    <w:lvl w:ilvl="1" w:tplc="F89E745E">
      <w:start w:val="1"/>
      <w:numFmt w:val="bullet"/>
      <w:lvlText w:val=""/>
      <w:lvlJc w:val="left"/>
      <w:pPr>
        <w:ind w:left="1440" w:hanging="360"/>
      </w:pPr>
      <w:rPr>
        <w:rFonts w:ascii="Wingdings" w:hAnsi="Wingdings" w:hint="default"/>
        <w:color w:val="156082" w:themeColor="accen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6180562">
    <w:abstractNumId w:val="4"/>
  </w:num>
  <w:num w:numId="2" w16cid:durableId="1521510364">
    <w:abstractNumId w:val="5"/>
  </w:num>
  <w:num w:numId="3" w16cid:durableId="1282229749">
    <w:abstractNumId w:val="2"/>
  </w:num>
  <w:num w:numId="4" w16cid:durableId="641927707">
    <w:abstractNumId w:val="0"/>
  </w:num>
  <w:num w:numId="5" w16cid:durableId="1706977342">
    <w:abstractNumId w:val="1"/>
  </w:num>
  <w:num w:numId="6" w16cid:durableId="1253516569">
    <w:abstractNumId w:val="4"/>
  </w:num>
  <w:num w:numId="7" w16cid:durableId="1056201796">
    <w:abstractNumId w:val="0"/>
  </w:num>
  <w:num w:numId="8" w16cid:durableId="809134583">
    <w:abstractNumId w:val="2"/>
  </w:num>
  <w:num w:numId="9" w16cid:durableId="262807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2A555-88A1-4D2A-9DB2-53BEAB512B4D}"/>
    <w:docVar w:name="dgnword-eventsink" w:val="113152016"/>
  </w:docVars>
  <w:rsids>
    <w:rsidRoot w:val="001F0653"/>
    <w:rsid w:val="00001652"/>
    <w:rsid w:val="00001CD0"/>
    <w:rsid w:val="00004DFE"/>
    <w:rsid w:val="00010161"/>
    <w:rsid w:val="00010778"/>
    <w:rsid w:val="00011C29"/>
    <w:rsid w:val="00013AE0"/>
    <w:rsid w:val="00017528"/>
    <w:rsid w:val="00022232"/>
    <w:rsid w:val="00022F8A"/>
    <w:rsid w:val="000256AC"/>
    <w:rsid w:val="00034591"/>
    <w:rsid w:val="0003614E"/>
    <w:rsid w:val="00036B8A"/>
    <w:rsid w:val="00052776"/>
    <w:rsid w:val="000572BF"/>
    <w:rsid w:val="000606A7"/>
    <w:rsid w:val="00062EC8"/>
    <w:rsid w:val="00065449"/>
    <w:rsid w:val="000665F4"/>
    <w:rsid w:val="00066CC7"/>
    <w:rsid w:val="00071ACD"/>
    <w:rsid w:val="00072150"/>
    <w:rsid w:val="00075A68"/>
    <w:rsid w:val="00080909"/>
    <w:rsid w:val="00081A23"/>
    <w:rsid w:val="00086447"/>
    <w:rsid w:val="0009468B"/>
    <w:rsid w:val="00094E01"/>
    <w:rsid w:val="0009626B"/>
    <w:rsid w:val="00096FBF"/>
    <w:rsid w:val="00097EBD"/>
    <w:rsid w:val="000A06F2"/>
    <w:rsid w:val="000A121B"/>
    <w:rsid w:val="000A1453"/>
    <w:rsid w:val="000A24CC"/>
    <w:rsid w:val="000A5524"/>
    <w:rsid w:val="000A72E2"/>
    <w:rsid w:val="000B145A"/>
    <w:rsid w:val="000B5266"/>
    <w:rsid w:val="000B5DA1"/>
    <w:rsid w:val="000C0C14"/>
    <w:rsid w:val="000C2AA7"/>
    <w:rsid w:val="000C3182"/>
    <w:rsid w:val="000C520F"/>
    <w:rsid w:val="000D039A"/>
    <w:rsid w:val="000D2C9A"/>
    <w:rsid w:val="000D32C4"/>
    <w:rsid w:val="000D3960"/>
    <w:rsid w:val="000D4611"/>
    <w:rsid w:val="000D5A5F"/>
    <w:rsid w:val="000E07BA"/>
    <w:rsid w:val="000E18FB"/>
    <w:rsid w:val="000E21E3"/>
    <w:rsid w:val="000E21FA"/>
    <w:rsid w:val="000E47ED"/>
    <w:rsid w:val="000E4E3E"/>
    <w:rsid w:val="000F0470"/>
    <w:rsid w:val="000F1813"/>
    <w:rsid w:val="000F7300"/>
    <w:rsid w:val="000F74E5"/>
    <w:rsid w:val="0010170F"/>
    <w:rsid w:val="001029DC"/>
    <w:rsid w:val="00103A6A"/>
    <w:rsid w:val="0010662E"/>
    <w:rsid w:val="001069AA"/>
    <w:rsid w:val="00107E94"/>
    <w:rsid w:val="00112092"/>
    <w:rsid w:val="00112214"/>
    <w:rsid w:val="001122C8"/>
    <w:rsid w:val="00112561"/>
    <w:rsid w:val="00112F71"/>
    <w:rsid w:val="001137EE"/>
    <w:rsid w:val="001172D7"/>
    <w:rsid w:val="0012065E"/>
    <w:rsid w:val="00123ECD"/>
    <w:rsid w:val="001242A3"/>
    <w:rsid w:val="001260E9"/>
    <w:rsid w:val="00126676"/>
    <w:rsid w:val="001315C7"/>
    <w:rsid w:val="001339FD"/>
    <w:rsid w:val="00133C79"/>
    <w:rsid w:val="0013448B"/>
    <w:rsid w:val="00134C53"/>
    <w:rsid w:val="00137F64"/>
    <w:rsid w:val="00141733"/>
    <w:rsid w:val="00141B72"/>
    <w:rsid w:val="00145294"/>
    <w:rsid w:val="0014766B"/>
    <w:rsid w:val="00147BDF"/>
    <w:rsid w:val="00147DD5"/>
    <w:rsid w:val="00150085"/>
    <w:rsid w:val="001506C0"/>
    <w:rsid w:val="0015352F"/>
    <w:rsid w:val="00155745"/>
    <w:rsid w:val="00156BB4"/>
    <w:rsid w:val="00160965"/>
    <w:rsid w:val="00160A28"/>
    <w:rsid w:val="001626F1"/>
    <w:rsid w:val="00162B14"/>
    <w:rsid w:val="0016434F"/>
    <w:rsid w:val="00166B68"/>
    <w:rsid w:val="001678CE"/>
    <w:rsid w:val="00167F3E"/>
    <w:rsid w:val="0017019F"/>
    <w:rsid w:val="001721D0"/>
    <w:rsid w:val="00175E64"/>
    <w:rsid w:val="0018121B"/>
    <w:rsid w:val="0018326C"/>
    <w:rsid w:val="00183324"/>
    <w:rsid w:val="00185F75"/>
    <w:rsid w:val="0019117D"/>
    <w:rsid w:val="00191433"/>
    <w:rsid w:val="001946BC"/>
    <w:rsid w:val="00194CE8"/>
    <w:rsid w:val="001A0F6F"/>
    <w:rsid w:val="001A104B"/>
    <w:rsid w:val="001A32F0"/>
    <w:rsid w:val="001A717A"/>
    <w:rsid w:val="001A7B7E"/>
    <w:rsid w:val="001B07D4"/>
    <w:rsid w:val="001B29CB"/>
    <w:rsid w:val="001B2F75"/>
    <w:rsid w:val="001B4B42"/>
    <w:rsid w:val="001B4E15"/>
    <w:rsid w:val="001B6462"/>
    <w:rsid w:val="001B67E6"/>
    <w:rsid w:val="001C05F3"/>
    <w:rsid w:val="001C4C4E"/>
    <w:rsid w:val="001C5C1A"/>
    <w:rsid w:val="001C66B7"/>
    <w:rsid w:val="001D1BE3"/>
    <w:rsid w:val="001D2995"/>
    <w:rsid w:val="001D3F19"/>
    <w:rsid w:val="001E11AC"/>
    <w:rsid w:val="001E182F"/>
    <w:rsid w:val="001E3ACE"/>
    <w:rsid w:val="001E3E03"/>
    <w:rsid w:val="001E78F5"/>
    <w:rsid w:val="001F0653"/>
    <w:rsid w:val="001F208A"/>
    <w:rsid w:val="001F673D"/>
    <w:rsid w:val="001F79EA"/>
    <w:rsid w:val="00210066"/>
    <w:rsid w:val="002104CF"/>
    <w:rsid w:val="00211B44"/>
    <w:rsid w:val="0021307B"/>
    <w:rsid w:val="00214549"/>
    <w:rsid w:val="00214899"/>
    <w:rsid w:val="00220DBD"/>
    <w:rsid w:val="002210A6"/>
    <w:rsid w:val="00221579"/>
    <w:rsid w:val="00222528"/>
    <w:rsid w:val="00223D5B"/>
    <w:rsid w:val="00225DBE"/>
    <w:rsid w:val="00226024"/>
    <w:rsid w:val="002301DC"/>
    <w:rsid w:val="00230C26"/>
    <w:rsid w:val="00230EA5"/>
    <w:rsid w:val="00231A9E"/>
    <w:rsid w:val="0023267C"/>
    <w:rsid w:val="00232C98"/>
    <w:rsid w:val="00233486"/>
    <w:rsid w:val="002357AB"/>
    <w:rsid w:val="00235874"/>
    <w:rsid w:val="0023590C"/>
    <w:rsid w:val="002378C5"/>
    <w:rsid w:val="002436CD"/>
    <w:rsid w:val="00244052"/>
    <w:rsid w:val="00245935"/>
    <w:rsid w:val="00246694"/>
    <w:rsid w:val="00250968"/>
    <w:rsid w:val="00254049"/>
    <w:rsid w:val="00254773"/>
    <w:rsid w:val="00254EA6"/>
    <w:rsid w:val="00265018"/>
    <w:rsid w:val="00273165"/>
    <w:rsid w:val="002731C1"/>
    <w:rsid w:val="00274517"/>
    <w:rsid w:val="00274CA1"/>
    <w:rsid w:val="00276885"/>
    <w:rsid w:val="00276BEF"/>
    <w:rsid w:val="002807E7"/>
    <w:rsid w:val="00280844"/>
    <w:rsid w:val="00283BE3"/>
    <w:rsid w:val="002840DD"/>
    <w:rsid w:val="00285FFF"/>
    <w:rsid w:val="00290232"/>
    <w:rsid w:val="00290EBF"/>
    <w:rsid w:val="00292E4C"/>
    <w:rsid w:val="002A26D6"/>
    <w:rsid w:val="002A3E38"/>
    <w:rsid w:val="002A550C"/>
    <w:rsid w:val="002A7C8A"/>
    <w:rsid w:val="002B1283"/>
    <w:rsid w:val="002B1411"/>
    <w:rsid w:val="002B2CFC"/>
    <w:rsid w:val="002B553A"/>
    <w:rsid w:val="002B58C6"/>
    <w:rsid w:val="002B5FF9"/>
    <w:rsid w:val="002B61A5"/>
    <w:rsid w:val="002B6714"/>
    <w:rsid w:val="002B7BEC"/>
    <w:rsid w:val="002B7D6A"/>
    <w:rsid w:val="002C36BD"/>
    <w:rsid w:val="002C6AC8"/>
    <w:rsid w:val="002D0384"/>
    <w:rsid w:val="002D4FC9"/>
    <w:rsid w:val="002E4A20"/>
    <w:rsid w:val="002F1FEE"/>
    <w:rsid w:val="002F28C3"/>
    <w:rsid w:val="002F2EDD"/>
    <w:rsid w:val="002F3223"/>
    <w:rsid w:val="002F3284"/>
    <w:rsid w:val="002F5250"/>
    <w:rsid w:val="002F54AB"/>
    <w:rsid w:val="002F5F05"/>
    <w:rsid w:val="00300C87"/>
    <w:rsid w:val="00301B3C"/>
    <w:rsid w:val="00304361"/>
    <w:rsid w:val="00304BA3"/>
    <w:rsid w:val="00304CB4"/>
    <w:rsid w:val="00306E9A"/>
    <w:rsid w:val="00307A12"/>
    <w:rsid w:val="00311A78"/>
    <w:rsid w:val="00314920"/>
    <w:rsid w:val="00314C6A"/>
    <w:rsid w:val="00323EAF"/>
    <w:rsid w:val="003278AD"/>
    <w:rsid w:val="00331090"/>
    <w:rsid w:val="0033188A"/>
    <w:rsid w:val="00331ABD"/>
    <w:rsid w:val="0033610C"/>
    <w:rsid w:val="00342D94"/>
    <w:rsid w:val="00344C8D"/>
    <w:rsid w:val="00351AF1"/>
    <w:rsid w:val="003546B2"/>
    <w:rsid w:val="003575AE"/>
    <w:rsid w:val="003578B5"/>
    <w:rsid w:val="0036062C"/>
    <w:rsid w:val="0036201B"/>
    <w:rsid w:val="00362C3B"/>
    <w:rsid w:val="00365C4F"/>
    <w:rsid w:val="00366117"/>
    <w:rsid w:val="003716B2"/>
    <w:rsid w:val="0037282E"/>
    <w:rsid w:val="00373950"/>
    <w:rsid w:val="00377237"/>
    <w:rsid w:val="00384F99"/>
    <w:rsid w:val="00385580"/>
    <w:rsid w:val="0039400C"/>
    <w:rsid w:val="0039779D"/>
    <w:rsid w:val="003A268A"/>
    <w:rsid w:val="003A305B"/>
    <w:rsid w:val="003A3717"/>
    <w:rsid w:val="003A3CFD"/>
    <w:rsid w:val="003A48D8"/>
    <w:rsid w:val="003A5730"/>
    <w:rsid w:val="003A5DC1"/>
    <w:rsid w:val="003B0333"/>
    <w:rsid w:val="003B0872"/>
    <w:rsid w:val="003B08A1"/>
    <w:rsid w:val="003B2665"/>
    <w:rsid w:val="003B672E"/>
    <w:rsid w:val="003B77A5"/>
    <w:rsid w:val="003C090F"/>
    <w:rsid w:val="003C2AC7"/>
    <w:rsid w:val="003C2DA3"/>
    <w:rsid w:val="003C2FED"/>
    <w:rsid w:val="003C343D"/>
    <w:rsid w:val="003C3BBF"/>
    <w:rsid w:val="003C4AF9"/>
    <w:rsid w:val="003C4C61"/>
    <w:rsid w:val="003C6B48"/>
    <w:rsid w:val="003D164B"/>
    <w:rsid w:val="003D632C"/>
    <w:rsid w:val="003E0398"/>
    <w:rsid w:val="003E1778"/>
    <w:rsid w:val="003E47F5"/>
    <w:rsid w:val="003E65D7"/>
    <w:rsid w:val="003F2399"/>
    <w:rsid w:val="003F2970"/>
    <w:rsid w:val="003F4A84"/>
    <w:rsid w:val="003F661D"/>
    <w:rsid w:val="00400245"/>
    <w:rsid w:val="004017D0"/>
    <w:rsid w:val="004054FE"/>
    <w:rsid w:val="00405D60"/>
    <w:rsid w:val="00407654"/>
    <w:rsid w:val="0041039F"/>
    <w:rsid w:val="00410794"/>
    <w:rsid w:val="00412C12"/>
    <w:rsid w:val="004208D8"/>
    <w:rsid w:val="0042671D"/>
    <w:rsid w:val="00426CC6"/>
    <w:rsid w:val="00427039"/>
    <w:rsid w:val="004326BC"/>
    <w:rsid w:val="00434709"/>
    <w:rsid w:val="004364FA"/>
    <w:rsid w:val="0044191D"/>
    <w:rsid w:val="0044194B"/>
    <w:rsid w:val="00443BC7"/>
    <w:rsid w:val="00443DB5"/>
    <w:rsid w:val="00445D9C"/>
    <w:rsid w:val="00453198"/>
    <w:rsid w:val="004531BC"/>
    <w:rsid w:val="00453B2A"/>
    <w:rsid w:val="00455F5E"/>
    <w:rsid w:val="00456247"/>
    <w:rsid w:val="00456483"/>
    <w:rsid w:val="00461234"/>
    <w:rsid w:val="0046466C"/>
    <w:rsid w:val="00466EC1"/>
    <w:rsid w:val="0047079F"/>
    <w:rsid w:val="00472AAA"/>
    <w:rsid w:val="00472B27"/>
    <w:rsid w:val="00473DAE"/>
    <w:rsid w:val="004756B6"/>
    <w:rsid w:val="00475D06"/>
    <w:rsid w:val="00476430"/>
    <w:rsid w:val="004813FE"/>
    <w:rsid w:val="00482F39"/>
    <w:rsid w:val="00483B98"/>
    <w:rsid w:val="00484E5F"/>
    <w:rsid w:val="004902A7"/>
    <w:rsid w:val="004923A8"/>
    <w:rsid w:val="00495358"/>
    <w:rsid w:val="00495840"/>
    <w:rsid w:val="004960CE"/>
    <w:rsid w:val="0049674A"/>
    <w:rsid w:val="004A0EAC"/>
    <w:rsid w:val="004A3F8F"/>
    <w:rsid w:val="004A486F"/>
    <w:rsid w:val="004A76CD"/>
    <w:rsid w:val="004B12AB"/>
    <w:rsid w:val="004B2B44"/>
    <w:rsid w:val="004B5837"/>
    <w:rsid w:val="004B6342"/>
    <w:rsid w:val="004B67B8"/>
    <w:rsid w:val="004B7303"/>
    <w:rsid w:val="004B7B88"/>
    <w:rsid w:val="004B7FCA"/>
    <w:rsid w:val="004C005E"/>
    <w:rsid w:val="004C0A44"/>
    <w:rsid w:val="004C397A"/>
    <w:rsid w:val="004C596C"/>
    <w:rsid w:val="004C6786"/>
    <w:rsid w:val="004D03EB"/>
    <w:rsid w:val="004D069C"/>
    <w:rsid w:val="004D1681"/>
    <w:rsid w:val="004D56A5"/>
    <w:rsid w:val="004D74D2"/>
    <w:rsid w:val="004E0DD4"/>
    <w:rsid w:val="004E1657"/>
    <w:rsid w:val="004E1D91"/>
    <w:rsid w:val="004E57BA"/>
    <w:rsid w:val="004F2B86"/>
    <w:rsid w:val="004F57F1"/>
    <w:rsid w:val="004F5834"/>
    <w:rsid w:val="004F7DCF"/>
    <w:rsid w:val="005050C1"/>
    <w:rsid w:val="005067C3"/>
    <w:rsid w:val="00507392"/>
    <w:rsid w:val="00507A91"/>
    <w:rsid w:val="005109B3"/>
    <w:rsid w:val="00515E70"/>
    <w:rsid w:val="005171CE"/>
    <w:rsid w:val="00522F41"/>
    <w:rsid w:val="00526CFB"/>
    <w:rsid w:val="00530599"/>
    <w:rsid w:val="005337F4"/>
    <w:rsid w:val="00533938"/>
    <w:rsid w:val="00534C0D"/>
    <w:rsid w:val="005352FE"/>
    <w:rsid w:val="00535E17"/>
    <w:rsid w:val="005367BA"/>
    <w:rsid w:val="00540E5E"/>
    <w:rsid w:val="005428D4"/>
    <w:rsid w:val="00543FD2"/>
    <w:rsid w:val="00546EA2"/>
    <w:rsid w:val="005508C8"/>
    <w:rsid w:val="0055101E"/>
    <w:rsid w:val="005512C2"/>
    <w:rsid w:val="005514D6"/>
    <w:rsid w:val="005561AA"/>
    <w:rsid w:val="00562FA0"/>
    <w:rsid w:val="005669C3"/>
    <w:rsid w:val="00567F9D"/>
    <w:rsid w:val="005703A8"/>
    <w:rsid w:val="0057267D"/>
    <w:rsid w:val="00573C1F"/>
    <w:rsid w:val="0057404C"/>
    <w:rsid w:val="0057552D"/>
    <w:rsid w:val="00575663"/>
    <w:rsid w:val="0058181A"/>
    <w:rsid w:val="00582EC8"/>
    <w:rsid w:val="00583C04"/>
    <w:rsid w:val="005841A3"/>
    <w:rsid w:val="00587C97"/>
    <w:rsid w:val="0059088A"/>
    <w:rsid w:val="00591136"/>
    <w:rsid w:val="005918D6"/>
    <w:rsid w:val="00592A57"/>
    <w:rsid w:val="005944FA"/>
    <w:rsid w:val="00594F5B"/>
    <w:rsid w:val="0059674C"/>
    <w:rsid w:val="0059725F"/>
    <w:rsid w:val="005A4178"/>
    <w:rsid w:val="005A4869"/>
    <w:rsid w:val="005A513E"/>
    <w:rsid w:val="005A7B12"/>
    <w:rsid w:val="005B0ED4"/>
    <w:rsid w:val="005B1D41"/>
    <w:rsid w:val="005B2739"/>
    <w:rsid w:val="005B3933"/>
    <w:rsid w:val="005B6059"/>
    <w:rsid w:val="005C05E5"/>
    <w:rsid w:val="005C21F5"/>
    <w:rsid w:val="005C6414"/>
    <w:rsid w:val="005D1949"/>
    <w:rsid w:val="005D254D"/>
    <w:rsid w:val="005D5423"/>
    <w:rsid w:val="005D65CB"/>
    <w:rsid w:val="005E0333"/>
    <w:rsid w:val="005E0BD8"/>
    <w:rsid w:val="005E10EE"/>
    <w:rsid w:val="005E31AC"/>
    <w:rsid w:val="005E5EFB"/>
    <w:rsid w:val="005E6134"/>
    <w:rsid w:val="005F0677"/>
    <w:rsid w:val="005F2593"/>
    <w:rsid w:val="005F5DE1"/>
    <w:rsid w:val="00601400"/>
    <w:rsid w:val="00602D09"/>
    <w:rsid w:val="00604374"/>
    <w:rsid w:val="00605B8E"/>
    <w:rsid w:val="00605F86"/>
    <w:rsid w:val="0060612A"/>
    <w:rsid w:val="00610E30"/>
    <w:rsid w:val="00611001"/>
    <w:rsid w:val="00613AED"/>
    <w:rsid w:val="00613FEC"/>
    <w:rsid w:val="00614329"/>
    <w:rsid w:val="00622C6E"/>
    <w:rsid w:val="00623A23"/>
    <w:rsid w:val="0062646A"/>
    <w:rsid w:val="0062659A"/>
    <w:rsid w:val="006334F3"/>
    <w:rsid w:val="00634237"/>
    <w:rsid w:val="00635FB9"/>
    <w:rsid w:val="00640C1E"/>
    <w:rsid w:val="00640E1B"/>
    <w:rsid w:val="006410A3"/>
    <w:rsid w:val="006412D4"/>
    <w:rsid w:val="0064246C"/>
    <w:rsid w:val="006460EB"/>
    <w:rsid w:val="006526A2"/>
    <w:rsid w:val="006547EF"/>
    <w:rsid w:val="006549D4"/>
    <w:rsid w:val="00657C61"/>
    <w:rsid w:val="00672B0B"/>
    <w:rsid w:val="00672D30"/>
    <w:rsid w:val="006737A0"/>
    <w:rsid w:val="00673ABA"/>
    <w:rsid w:val="00675718"/>
    <w:rsid w:val="00676787"/>
    <w:rsid w:val="006769A7"/>
    <w:rsid w:val="00676CAC"/>
    <w:rsid w:val="006775CC"/>
    <w:rsid w:val="00680052"/>
    <w:rsid w:val="0068289F"/>
    <w:rsid w:val="0068304D"/>
    <w:rsid w:val="006857DD"/>
    <w:rsid w:val="00685B8E"/>
    <w:rsid w:val="006916C5"/>
    <w:rsid w:val="00693911"/>
    <w:rsid w:val="00694443"/>
    <w:rsid w:val="00696637"/>
    <w:rsid w:val="00697151"/>
    <w:rsid w:val="006A2EA5"/>
    <w:rsid w:val="006A56B0"/>
    <w:rsid w:val="006A5F4D"/>
    <w:rsid w:val="006B1A29"/>
    <w:rsid w:val="006B4AED"/>
    <w:rsid w:val="006B7E1D"/>
    <w:rsid w:val="006C17F3"/>
    <w:rsid w:val="006C4D89"/>
    <w:rsid w:val="006C78B5"/>
    <w:rsid w:val="006C7D49"/>
    <w:rsid w:val="006C7F9B"/>
    <w:rsid w:val="006D0399"/>
    <w:rsid w:val="006D03A5"/>
    <w:rsid w:val="006D22BB"/>
    <w:rsid w:val="006D30BD"/>
    <w:rsid w:val="006D4F7B"/>
    <w:rsid w:val="006D7438"/>
    <w:rsid w:val="006E054F"/>
    <w:rsid w:val="006E371B"/>
    <w:rsid w:val="006E38FE"/>
    <w:rsid w:val="006E7E8C"/>
    <w:rsid w:val="006F11CA"/>
    <w:rsid w:val="006F1430"/>
    <w:rsid w:val="006F15E5"/>
    <w:rsid w:val="006F3E1F"/>
    <w:rsid w:val="006F41A1"/>
    <w:rsid w:val="006F61DD"/>
    <w:rsid w:val="006F6B81"/>
    <w:rsid w:val="006F73E2"/>
    <w:rsid w:val="007004BC"/>
    <w:rsid w:val="00703F85"/>
    <w:rsid w:val="007046C6"/>
    <w:rsid w:val="007059DE"/>
    <w:rsid w:val="007079CA"/>
    <w:rsid w:val="00707A00"/>
    <w:rsid w:val="00710FD4"/>
    <w:rsid w:val="00711B4D"/>
    <w:rsid w:val="00712310"/>
    <w:rsid w:val="007123C8"/>
    <w:rsid w:val="00716AA4"/>
    <w:rsid w:val="00717CF9"/>
    <w:rsid w:val="00720412"/>
    <w:rsid w:val="00721A8C"/>
    <w:rsid w:val="00721EF2"/>
    <w:rsid w:val="007224D2"/>
    <w:rsid w:val="007243A8"/>
    <w:rsid w:val="007303BC"/>
    <w:rsid w:val="00730569"/>
    <w:rsid w:val="00730779"/>
    <w:rsid w:val="0073444C"/>
    <w:rsid w:val="00740156"/>
    <w:rsid w:val="00743EAC"/>
    <w:rsid w:val="0074429E"/>
    <w:rsid w:val="00744EF2"/>
    <w:rsid w:val="0075220E"/>
    <w:rsid w:val="007579AC"/>
    <w:rsid w:val="00762C91"/>
    <w:rsid w:val="0076326D"/>
    <w:rsid w:val="007671F5"/>
    <w:rsid w:val="007712FB"/>
    <w:rsid w:val="007714DE"/>
    <w:rsid w:val="00772A1B"/>
    <w:rsid w:val="0077516C"/>
    <w:rsid w:val="007754CC"/>
    <w:rsid w:val="00782CAA"/>
    <w:rsid w:val="00784C07"/>
    <w:rsid w:val="0079059E"/>
    <w:rsid w:val="00793227"/>
    <w:rsid w:val="00793C65"/>
    <w:rsid w:val="00795EAA"/>
    <w:rsid w:val="00797D64"/>
    <w:rsid w:val="007A13BB"/>
    <w:rsid w:val="007A2776"/>
    <w:rsid w:val="007A4EB9"/>
    <w:rsid w:val="007A5F0F"/>
    <w:rsid w:val="007A6C4C"/>
    <w:rsid w:val="007A7925"/>
    <w:rsid w:val="007B1A32"/>
    <w:rsid w:val="007B1A47"/>
    <w:rsid w:val="007B1C91"/>
    <w:rsid w:val="007B1D87"/>
    <w:rsid w:val="007B2066"/>
    <w:rsid w:val="007B5AB4"/>
    <w:rsid w:val="007B7E22"/>
    <w:rsid w:val="007C1F29"/>
    <w:rsid w:val="007C2B97"/>
    <w:rsid w:val="007C49B5"/>
    <w:rsid w:val="007C4FF2"/>
    <w:rsid w:val="007C7BED"/>
    <w:rsid w:val="007D3D16"/>
    <w:rsid w:val="007D5C83"/>
    <w:rsid w:val="007D6450"/>
    <w:rsid w:val="007D749F"/>
    <w:rsid w:val="007D7588"/>
    <w:rsid w:val="007E3792"/>
    <w:rsid w:val="007E5007"/>
    <w:rsid w:val="007E582E"/>
    <w:rsid w:val="007E59C5"/>
    <w:rsid w:val="007E6156"/>
    <w:rsid w:val="007F0C31"/>
    <w:rsid w:val="007F1CAE"/>
    <w:rsid w:val="007F42CB"/>
    <w:rsid w:val="00801D7B"/>
    <w:rsid w:val="00803211"/>
    <w:rsid w:val="00803589"/>
    <w:rsid w:val="00804215"/>
    <w:rsid w:val="008074A0"/>
    <w:rsid w:val="00812694"/>
    <w:rsid w:val="0081293E"/>
    <w:rsid w:val="00814467"/>
    <w:rsid w:val="00816189"/>
    <w:rsid w:val="00816FFD"/>
    <w:rsid w:val="008244FA"/>
    <w:rsid w:val="008246D5"/>
    <w:rsid w:val="008248C1"/>
    <w:rsid w:val="00824B05"/>
    <w:rsid w:val="00824B35"/>
    <w:rsid w:val="00825A58"/>
    <w:rsid w:val="00830EC0"/>
    <w:rsid w:val="00833830"/>
    <w:rsid w:val="0083447F"/>
    <w:rsid w:val="00837808"/>
    <w:rsid w:val="00841393"/>
    <w:rsid w:val="008415EE"/>
    <w:rsid w:val="00841FA4"/>
    <w:rsid w:val="0084648B"/>
    <w:rsid w:val="008533C6"/>
    <w:rsid w:val="00853BD4"/>
    <w:rsid w:val="00855025"/>
    <w:rsid w:val="00870B24"/>
    <w:rsid w:val="00873DCB"/>
    <w:rsid w:val="00874AEF"/>
    <w:rsid w:val="008761AC"/>
    <w:rsid w:val="00881ED8"/>
    <w:rsid w:val="00884417"/>
    <w:rsid w:val="0088450F"/>
    <w:rsid w:val="008855CF"/>
    <w:rsid w:val="00887206"/>
    <w:rsid w:val="008901B0"/>
    <w:rsid w:val="008911EE"/>
    <w:rsid w:val="0089346A"/>
    <w:rsid w:val="00893C60"/>
    <w:rsid w:val="008947A4"/>
    <w:rsid w:val="008950C3"/>
    <w:rsid w:val="008952DB"/>
    <w:rsid w:val="00896702"/>
    <w:rsid w:val="00896B00"/>
    <w:rsid w:val="008A2FDF"/>
    <w:rsid w:val="008A35D9"/>
    <w:rsid w:val="008A68C7"/>
    <w:rsid w:val="008B0D5F"/>
    <w:rsid w:val="008B1705"/>
    <w:rsid w:val="008B1FBE"/>
    <w:rsid w:val="008C0150"/>
    <w:rsid w:val="008C01DD"/>
    <w:rsid w:val="008C0EB1"/>
    <w:rsid w:val="008C24C5"/>
    <w:rsid w:val="008C4054"/>
    <w:rsid w:val="008C548D"/>
    <w:rsid w:val="008C5C50"/>
    <w:rsid w:val="008C67BF"/>
    <w:rsid w:val="008C7C6D"/>
    <w:rsid w:val="008D17B4"/>
    <w:rsid w:val="008D420B"/>
    <w:rsid w:val="008E2F0C"/>
    <w:rsid w:val="008E6985"/>
    <w:rsid w:val="008E69B0"/>
    <w:rsid w:val="008F0A3F"/>
    <w:rsid w:val="008F0F64"/>
    <w:rsid w:val="008F1E32"/>
    <w:rsid w:val="008F2E6F"/>
    <w:rsid w:val="008F44AF"/>
    <w:rsid w:val="008F5835"/>
    <w:rsid w:val="0090227A"/>
    <w:rsid w:val="009028EA"/>
    <w:rsid w:val="009063A4"/>
    <w:rsid w:val="00907AEB"/>
    <w:rsid w:val="00911931"/>
    <w:rsid w:val="0091332F"/>
    <w:rsid w:val="00913649"/>
    <w:rsid w:val="00922323"/>
    <w:rsid w:val="00922451"/>
    <w:rsid w:val="00922863"/>
    <w:rsid w:val="00922D3A"/>
    <w:rsid w:val="00924B85"/>
    <w:rsid w:val="00925D8D"/>
    <w:rsid w:val="009307D1"/>
    <w:rsid w:val="0093198F"/>
    <w:rsid w:val="009346DE"/>
    <w:rsid w:val="00937292"/>
    <w:rsid w:val="00941859"/>
    <w:rsid w:val="00946C42"/>
    <w:rsid w:val="00951045"/>
    <w:rsid w:val="00951DE8"/>
    <w:rsid w:val="00951F61"/>
    <w:rsid w:val="0095367C"/>
    <w:rsid w:val="0095404B"/>
    <w:rsid w:val="009547F2"/>
    <w:rsid w:val="00957679"/>
    <w:rsid w:val="00960E7E"/>
    <w:rsid w:val="00962CEE"/>
    <w:rsid w:val="00965E75"/>
    <w:rsid w:val="00970DFE"/>
    <w:rsid w:val="0097193C"/>
    <w:rsid w:val="0098324F"/>
    <w:rsid w:val="00984E22"/>
    <w:rsid w:val="00986256"/>
    <w:rsid w:val="00986314"/>
    <w:rsid w:val="009864FC"/>
    <w:rsid w:val="0098655D"/>
    <w:rsid w:val="009943FD"/>
    <w:rsid w:val="0099748C"/>
    <w:rsid w:val="009A187A"/>
    <w:rsid w:val="009A1D8C"/>
    <w:rsid w:val="009A5F3C"/>
    <w:rsid w:val="009A6261"/>
    <w:rsid w:val="009B10B8"/>
    <w:rsid w:val="009B148E"/>
    <w:rsid w:val="009B1863"/>
    <w:rsid w:val="009B1B45"/>
    <w:rsid w:val="009B1E90"/>
    <w:rsid w:val="009B245D"/>
    <w:rsid w:val="009B27EE"/>
    <w:rsid w:val="009B5315"/>
    <w:rsid w:val="009B78B2"/>
    <w:rsid w:val="009C0720"/>
    <w:rsid w:val="009C2CAC"/>
    <w:rsid w:val="009D19EB"/>
    <w:rsid w:val="009D3FD2"/>
    <w:rsid w:val="009D66F8"/>
    <w:rsid w:val="009D76EF"/>
    <w:rsid w:val="009E221F"/>
    <w:rsid w:val="009E26E0"/>
    <w:rsid w:val="009E29D2"/>
    <w:rsid w:val="009F01CC"/>
    <w:rsid w:val="009F2061"/>
    <w:rsid w:val="009F26C8"/>
    <w:rsid w:val="009F2835"/>
    <w:rsid w:val="009F582E"/>
    <w:rsid w:val="00A02741"/>
    <w:rsid w:val="00A02B6A"/>
    <w:rsid w:val="00A05F63"/>
    <w:rsid w:val="00A11CAF"/>
    <w:rsid w:val="00A13FF7"/>
    <w:rsid w:val="00A14E25"/>
    <w:rsid w:val="00A15216"/>
    <w:rsid w:val="00A15370"/>
    <w:rsid w:val="00A16F9E"/>
    <w:rsid w:val="00A1735F"/>
    <w:rsid w:val="00A22AF6"/>
    <w:rsid w:val="00A239B8"/>
    <w:rsid w:val="00A26D33"/>
    <w:rsid w:val="00A312F6"/>
    <w:rsid w:val="00A31CA8"/>
    <w:rsid w:val="00A3295E"/>
    <w:rsid w:val="00A335CE"/>
    <w:rsid w:val="00A36013"/>
    <w:rsid w:val="00A45456"/>
    <w:rsid w:val="00A45AA1"/>
    <w:rsid w:val="00A460BA"/>
    <w:rsid w:val="00A4620A"/>
    <w:rsid w:val="00A47D4A"/>
    <w:rsid w:val="00A501BC"/>
    <w:rsid w:val="00A5276B"/>
    <w:rsid w:val="00A60242"/>
    <w:rsid w:val="00A60E82"/>
    <w:rsid w:val="00A61591"/>
    <w:rsid w:val="00A62F8A"/>
    <w:rsid w:val="00A63D67"/>
    <w:rsid w:val="00A6554B"/>
    <w:rsid w:val="00A71BE7"/>
    <w:rsid w:val="00A72117"/>
    <w:rsid w:val="00A74E29"/>
    <w:rsid w:val="00A83D87"/>
    <w:rsid w:val="00A8567E"/>
    <w:rsid w:val="00A904EE"/>
    <w:rsid w:val="00A9262D"/>
    <w:rsid w:val="00A92F11"/>
    <w:rsid w:val="00A9467A"/>
    <w:rsid w:val="00A94F89"/>
    <w:rsid w:val="00A9554A"/>
    <w:rsid w:val="00A97C8F"/>
    <w:rsid w:val="00AA0BDD"/>
    <w:rsid w:val="00AA2510"/>
    <w:rsid w:val="00AA2A7A"/>
    <w:rsid w:val="00AA2B15"/>
    <w:rsid w:val="00AA48B6"/>
    <w:rsid w:val="00AB208B"/>
    <w:rsid w:val="00AB4055"/>
    <w:rsid w:val="00AB578D"/>
    <w:rsid w:val="00AB6A0E"/>
    <w:rsid w:val="00AC0036"/>
    <w:rsid w:val="00AC0814"/>
    <w:rsid w:val="00AC1A83"/>
    <w:rsid w:val="00AC4233"/>
    <w:rsid w:val="00AC5BC3"/>
    <w:rsid w:val="00AC79CC"/>
    <w:rsid w:val="00AC7B73"/>
    <w:rsid w:val="00AD067D"/>
    <w:rsid w:val="00AD2308"/>
    <w:rsid w:val="00AD4C15"/>
    <w:rsid w:val="00AD7918"/>
    <w:rsid w:val="00AE11E5"/>
    <w:rsid w:val="00AE174F"/>
    <w:rsid w:val="00AE2C56"/>
    <w:rsid w:val="00AE3435"/>
    <w:rsid w:val="00AE6710"/>
    <w:rsid w:val="00AF26BD"/>
    <w:rsid w:val="00AF2A77"/>
    <w:rsid w:val="00AF3C6F"/>
    <w:rsid w:val="00AF499F"/>
    <w:rsid w:val="00AF6BB2"/>
    <w:rsid w:val="00B00972"/>
    <w:rsid w:val="00B00C08"/>
    <w:rsid w:val="00B05F89"/>
    <w:rsid w:val="00B06BD0"/>
    <w:rsid w:val="00B06CF8"/>
    <w:rsid w:val="00B06E84"/>
    <w:rsid w:val="00B074CC"/>
    <w:rsid w:val="00B130BF"/>
    <w:rsid w:val="00B16750"/>
    <w:rsid w:val="00B20A40"/>
    <w:rsid w:val="00B21585"/>
    <w:rsid w:val="00B226CD"/>
    <w:rsid w:val="00B241C9"/>
    <w:rsid w:val="00B2751E"/>
    <w:rsid w:val="00B31E97"/>
    <w:rsid w:val="00B32BEE"/>
    <w:rsid w:val="00B32E0D"/>
    <w:rsid w:val="00B3445C"/>
    <w:rsid w:val="00B35407"/>
    <w:rsid w:val="00B35560"/>
    <w:rsid w:val="00B3644D"/>
    <w:rsid w:val="00B37F4E"/>
    <w:rsid w:val="00B4075F"/>
    <w:rsid w:val="00B43D29"/>
    <w:rsid w:val="00B44F50"/>
    <w:rsid w:val="00B52607"/>
    <w:rsid w:val="00B5275D"/>
    <w:rsid w:val="00B54B21"/>
    <w:rsid w:val="00B601C0"/>
    <w:rsid w:val="00B634CE"/>
    <w:rsid w:val="00B63E35"/>
    <w:rsid w:val="00B6444D"/>
    <w:rsid w:val="00B660DA"/>
    <w:rsid w:val="00B66EB7"/>
    <w:rsid w:val="00B675F0"/>
    <w:rsid w:val="00B71033"/>
    <w:rsid w:val="00B7217A"/>
    <w:rsid w:val="00B729D3"/>
    <w:rsid w:val="00B72B2C"/>
    <w:rsid w:val="00B73216"/>
    <w:rsid w:val="00B760A2"/>
    <w:rsid w:val="00B86E33"/>
    <w:rsid w:val="00B87247"/>
    <w:rsid w:val="00B874FE"/>
    <w:rsid w:val="00B87A3C"/>
    <w:rsid w:val="00B87F6B"/>
    <w:rsid w:val="00B92670"/>
    <w:rsid w:val="00B937A4"/>
    <w:rsid w:val="00B9478F"/>
    <w:rsid w:val="00B96DC2"/>
    <w:rsid w:val="00B97216"/>
    <w:rsid w:val="00B97249"/>
    <w:rsid w:val="00BA078C"/>
    <w:rsid w:val="00BA4CAE"/>
    <w:rsid w:val="00BA6318"/>
    <w:rsid w:val="00BA6610"/>
    <w:rsid w:val="00BA678B"/>
    <w:rsid w:val="00BB3C4E"/>
    <w:rsid w:val="00BB4BF9"/>
    <w:rsid w:val="00BC3F7A"/>
    <w:rsid w:val="00BC5819"/>
    <w:rsid w:val="00BC7BF4"/>
    <w:rsid w:val="00BD07ED"/>
    <w:rsid w:val="00BD160C"/>
    <w:rsid w:val="00BD23B1"/>
    <w:rsid w:val="00BD2F84"/>
    <w:rsid w:val="00BD3B33"/>
    <w:rsid w:val="00BD3E3B"/>
    <w:rsid w:val="00BD4BF3"/>
    <w:rsid w:val="00BE0AEA"/>
    <w:rsid w:val="00BE0B67"/>
    <w:rsid w:val="00BE48EE"/>
    <w:rsid w:val="00BE72B4"/>
    <w:rsid w:val="00BF042C"/>
    <w:rsid w:val="00BF099F"/>
    <w:rsid w:val="00BF0E8C"/>
    <w:rsid w:val="00BF284E"/>
    <w:rsid w:val="00BF738E"/>
    <w:rsid w:val="00BF7F66"/>
    <w:rsid w:val="00C011E9"/>
    <w:rsid w:val="00C01FC0"/>
    <w:rsid w:val="00C101E8"/>
    <w:rsid w:val="00C12331"/>
    <w:rsid w:val="00C12F02"/>
    <w:rsid w:val="00C13249"/>
    <w:rsid w:val="00C17D28"/>
    <w:rsid w:val="00C22C47"/>
    <w:rsid w:val="00C2410E"/>
    <w:rsid w:val="00C3132B"/>
    <w:rsid w:val="00C31901"/>
    <w:rsid w:val="00C32F9E"/>
    <w:rsid w:val="00C40F67"/>
    <w:rsid w:val="00C41EE8"/>
    <w:rsid w:val="00C4337F"/>
    <w:rsid w:val="00C44392"/>
    <w:rsid w:val="00C44DAF"/>
    <w:rsid w:val="00C46444"/>
    <w:rsid w:val="00C50BBD"/>
    <w:rsid w:val="00C5452F"/>
    <w:rsid w:val="00C548F1"/>
    <w:rsid w:val="00C57406"/>
    <w:rsid w:val="00C57B2A"/>
    <w:rsid w:val="00C60917"/>
    <w:rsid w:val="00C63588"/>
    <w:rsid w:val="00C63FEF"/>
    <w:rsid w:val="00C64377"/>
    <w:rsid w:val="00C65137"/>
    <w:rsid w:val="00C65B2E"/>
    <w:rsid w:val="00C73FC8"/>
    <w:rsid w:val="00C8143F"/>
    <w:rsid w:val="00C82680"/>
    <w:rsid w:val="00C8392C"/>
    <w:rsid w:val="00C83C57"/>
    <w:rsid w:val="00C84189"/>
    <w:rsid w:val="00C86836"/>
    <w:rsid w:val="00C9081B"/>
    <w:rsid w:val="00C925AD"/>
    <w:rsid w:val="00C97BBA"/>
    <w:rsid w:val="00CA1290"/>
    <w:rsid w:val="00CA12E4"/>
    <w:rsid w:val="00CA1B6C"/>
    <w:rsid w:val="00CA4324"/>
    <w:rsid w:val="00CA5710"/>
    <w:rsid w:val="00CB4915"/>
    <w:rsid w:val="00CC02A7"/>
    <w:rsid w:val="00CC346A"/>
    <w:rsid w:val="00CC35CE"/>
    <w:rsid w:val="00CC5D0A"/>
    <w:rsid w:val="00CD1201"/>
    <w:rsid w:val="00CD46BD"/>
    <w:rsid w:val="00CD6555"/>
    <w:rsid w:val="00CD75CB"/>
    <w:rsid w:val="00CD77FF"/>
    <w:rsid w:val="00CD7916"/>
    <w:rsid w:val="00CE0A09"/>
    <w:rsid w:val="00CE69C4"/>
    <w:rsid w:val="00CF14A6"/>
    <w:rsid w:val="00CF252C"/>
    <w:rsid w:val="00CF41CC"/>
    <w:rsid w:val="00CF6710"/>
    <w:rsid w:val="00D018A1"/>
    <w:rsid w:val="00D028B3"/>
    <w:rsid w:val="00D066AD"/>
    <w:rsid w:val="00D068F1"/>
    <w:rsid w:val="00D070D8"/>
    <w:rsid w:val="00D0723F"/>
    <w:rsid w:val="00D103EA"/>
    <w:rsid w:val="00D11A70"/>
    <w:rsid w:val="00D14379"/>
    <w:rsid w:val="00D16B11"/>
    <w:rsid w:val="00D16D53"/>
    <w:rsid w:val="00D17ABA"/>
    <w:rsid w:val="00D23C22"/>
    <w:rsid w:val="00D24060"/>
    <w:rsid w:val="00D26DAA"/>
    <w:rsid w:val="00D27E5B"/>
    <w:rsid w:val="00D30056"/>
    <w:rsid w:val="00D32013"/>
    <w:rsid w:val="00D32214"/>
    <w:rsid w:val="00D334F0"/>
    <w:rsid w:val="00D36196"/>
    <w:rsid w:val="00D36435"/>
    <w:rsid w:val="00D37A42"/>
    <w:rsid w:val="00D42467"/>
    <w:rsid w:val="00D42B60"/>
    <w:rsid w:val="00D42E1B"/>
    <w:rsid w:val="00D45887"/>
    <w:rsid w:val="00D460B2"/>
    <w:rsid w:val="00D46CE3"/>
    <w:rsid w:val="00D4731D"/>
    <w:rsid w:val="00D50CCD"/>
    <w:rsid w:val="00D554C4"/>
    <w:rsid w:val="00D55D5C"/>
    <w:rsid w:val="00D55ED4"/>
    <w:rsid w:val="00D62ADC"/>
    <w:rsid w:val="00D6389C"/>
    <w:rsid w:val="00D63A1A"/>
    <w:rsid w:val="00D743A3"/>
    <w:rsid w:val="00D7736C"/>
    <w:rsid w:val="00D801EB"/>
    <w:rsid w:val="00D8350A"/>
    <w:rsid w:val="00D84D61"/>
    <w:rsid w:val="00D94B86"/>
    <w:rsid w:val="00DA041C"/>
    <w:rsid w:val="00DA1F33"/>
    <w:rsid w:val="00DA257D"/>
    <w:rsid w:val="00DA467A"/>
    <w:rsid w:val="00DA6617"/>
    <w:rsid w:val="00DB0749"/>
    <w:rsid w:val="00DB0D4B"/>
    <w:rsid w:val="00DB1ACC"/>
    <w:rsid w:val="00DB38C1"/>
    <w:rsid w:val="00DB3B53"/>
    <w:rsid w:val="00DB72D4"/>
    <w:rsid w:val="00DC05F9"/>
    <w:rsid w:val="00DC0A72"/>
    <w:rsid w:val="00DC395E"/>
    <w:rsid w:val="00DC4BDD"/>
    <w:rsid w:val="00DC6474"/>
    <w:rsid w:val="00DC701E"/>
    <w:rsid w:val="00DD0C17"/>
    <w:rsid w:val="00DE1074"/>
    <w:rsid w:val="00DE1C89"/>
    <w:rsid w:val="00DE2E51"/>
    <w:rsid w:val="00DF035C"/>
    <w:rsid w:val="00DF2507"/>
    <w:rsid w:val="00DF2FC0"/>
    <w:rsid w:val="00E00D44"/>
    <w:rsid w:val="00E00D79"/>
    <w:rsid w:val="00E02BB6"/>
    <w:rsid w:val="00E05455"/>
    <w:rsid w:val="00E10119"/>
    <w:rsid w:val="00E17BEC"/>
    <w:rsid w:val="00E21A17"/>
    <w:rsid w:val="00E21E67"/>
    <w:rsid w:val="00E220C0"/>
    <w:rsid w:val="00E22442"/>
    <w:rsid w:val="00E23400"/>
    <w:rsid w:val="00E2439D"/>
    <w:rsid w:val="00E24482"/>
    <w:rsid w:val="00E24EBE"/>
    <w:rsid w:val="00E253EB"/>
    <w:rsid w:val="00E35010"/>
    <w:rsid w:val="00E3508C"/>
    <w:rsid w:val="00E3689F"/>
    <w:rsid w:val="00E4031C"/>
    <w:rsid w:val="00E41E3B"/>
    <w:rsid w:val="00E4228E"/>
    <w:rsid w:val="00E432C8"/>
    <w:rsid w:val="00E433DF"/>
    <w:rsid w:val="00E4346A"/>
    <w:rsid w:val="00E52D91"/>
    <w:rsid w:val="00E57B57"/>
    <w:rsid w:val="00E612FE"/>
    <w:rsid w:val="00E62067"/>
    <w:rsid w:val="00E62BFD"/>
    <w:rsid w:val="00E71137"/>
    <w:rsid w:val="00E73FBF"/>
    <w:rsid w:val="00E754BE"/>
    <w:rsid w:val="00E75FD7"/>
    <w:rsid w:val="00E815D7"/>
    <w:rsid w:val="00E82CBA"/>
    <w:rsid w:val="00E82CD4"/>
    <w:rsid w:val="00E834D0"/>
    <w:rsid w:val="00E83CE0"/>
    <w:rsid w:val="00E920AE"/>
    <w:rsid w:val="00E926F4"/>
    <w:rsid w:val="00E93505"/>
    <w:rsid w:val="00EA02F0"/>
    <w:rsid w:val="00EA1407"/>
    <w:rsid w:val="00EA1AD3"/>
    <w:rsid w:val="00EA37CA"/>
    <w:rsid w:val="00EA4D22"/>
    <w:rsid w:val="00EA529F"/>
    <w:rsid w:val="00EA6232"/>
    <w:rsid w:val="00EB2D5E"/>
    <w:rsid w:val="00EB38D9"/>
    <w:rsid w:val="00EB3C23"/>
    <w:rsid w:val="00EB718B"/>
    <w:rsid w:val="00EC08DE"/>
    <w:rsid w:val="00EC2B6D"/>
    <w:rsid w:val="00EC2FB6"/>
    <w:rsid w:val="00EC35BE"/>
    <w:rsid w:val="00EC4BA0"/>
    <w:rsid w:val="00EC5634"/>
    <w:rsid w:val="00EC5860"/>
    <w:rsid w:val="00EC691B"/>
    <w:rsid w:val="00EC7753"/>
    <w:rsid w:val="00ED1919"/>
    <w:rsid w:val="00ED2DFB"/>
    <w:rsid w:val="00ED2E54"/>
    <w:rsid w:val="00ED79B3"/>
    <w:rsid w:val="00ED7DD9"/>
    <w:rsid w:val="00ED7FA3"/>
    <w:rsid w:val="00EE02F8"/>
    <w:rsid w:val="00EE687E"/>
    <w:rsid w:val="00EE7906"/>
    <w:rsid w:val="00EF014F"/>
    <w:rsid w:val="00EF1E91"/>
    <w:rsid w:val="00EF2452"/>
    <w:rsid w:val="00EF3A91"/>
    <w:rsid w:val="00EF4A7E"/>
    <w:rsid w:val="00EF524A"/>
    <w:rsid w:val="00EF7B42"/>
    <w:rsid w:val="00F036C7"/>
    <w:rsid w:val="00F05285"/>
    <w:rsid w:val="00F10DA8"/>
    <w:rsid w:val="00F1118D"/>
    <w:rsid w:val="00F11EB6"/>
    <w:rsid w:val="00F12E93"/>
    <w:rsid w:val="00F13C04"/>
    <w:rsid w:val="00F1457D"/>
    <w:rsid w:val="00F16954"/>
    <w:rsid w:val="00F23A69"/>
    <w:rsid w:val="00F24378"/>
    <w:rsid w:val="00F24608"/>
    <w:rsid w:val="00F260A7"/>
    <w:rsid w:val="00F27BDB"/>
    <w:rsid w:val="00F33A5B"/>
    <w:rsid w:val="00F346AB"/>
    <w:rsid w:val="00F4287D"/>
    <w:rsid w:val="00F457E0"/>
    <w:rsid w:val="00F45858"/>
    <w:rsid w:val="00F47275"/>
    <w:rsid w:val="00F47C08"/>
    <w:rsid w:val="00F52059"/>
    <w:rsid w:val="00F52B0D"/>
    <w:rsid w:val="00F54D5F"/>
    <w:rsid w:val="00F56DB4"/>
    <w:rsid w:val="00F6333D"/>
    <w:rsid w:val="00F637A9"/>
    <w:rsid w:val="00F672D0"/>
    <w:rsid w:val="00F67A1E"/>
    <w:rsid w:val="00F704B3"/>
    <w:rsid w:val="00F71B7E"/>
    <w:rsid w:val="00F72519"/>
    <w:rsid w:val="00F73B19"/>
    <w:rsid w:val="00F74AD0"/>
    <w:rsid w:val="00F75F01"/>
    <w:rsid w:val="00F77E31"/>
    <w:rsid w:val="00F850B0"/>
    <w:rsid w:val="00F85239"/>
    <w:rsid w:val="00F85C18"/>
    <w:rsid w:val="00F86408"/>
    <w:rsid w:val="00F86A14"/>
    <w:rsid w:val="00F8736E"/>
    <w:rsid w:val="00F936CB"/>
    <w:rsid w:val="00F96BA3"/>
    <w:rsid w:val="00F96D56"/>
    <w:rsid w:val="00FA1BDB"/>
    <w:rsid w:val="00FA2502"/>
    <w:rsid w:val="00FA34E5"/>
    <w:rsid w:val="00FA40BE"/>
    <w:rsid w:val="00FA4AA8"/>
    <w:rsid w:val="00FA4B21"/>
    <w:rsid w:val="00FA4CDE"/>
    <w:rsid w:val="00FA58D7"/>
    <w:rsid w:val="00FB114C"/>
    <w:rsid w:val="00FB3E22"/>
    <w:rsid w:val="00FB438D"/>
    <w:rsid w:val="00FB50F8"/>
    <w:rsid w:val="00FB60B0"/>
    <w:rsid w:val="00FB691D"/>
    <w:rsid w:val="00FB6A65"/>
    <w:rsid w:val="00FC121A"/>
    <w:rsid w:val="00FC2CE4"/>
    <w:rsid w:val="00FC33CF"/>
    <w:rsid w:val="00FC4747"/>
    <w:rsid w:val="00FC5AF6"/>
    <w:rsid w:val="00FC7522"/>
    <w:rsid w:val="00FD00E4"/>
    <w:rsid w:val="00FD0CAE"/>
    <w:rsid w:val="00FD1892"/>
    <w:rsid w:val="00FD26CE"/>
    <w:rsid w:val="00FD2850"/>
    <w:rsid w:val="00FD415E"/>
    <w:rsid w:val="00FD54B9"/>
    <w:rsid w:val="00FD5F5D"/>
    <w:rsid w:val="00FD6551"/>
    <w:rsid w:val="00FE080A"/>
    <w:rsid w:val="00FE0829"/>
    <w:rsid w:val="00FE0CCD"/>
    <w:rsid w:val="00FE0FBF"/>
    <w:rsid w:val="00FE139B"/>
    <w:rsid w:val="00FE4C36"/>
    <w:rsid w:val="00FE572D"/>
    <w:rsid w:val="00FE6EC3"/>
    <w:rsid w:val="00FF0B9A"/>
    <w:rsid w:val="00FF2DE0"/>
    <w:rsid w:val="00FF66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C4C6F"/>
  <w15:docId w15:val="{73565B35-8637-49A5-88C7-EC23CC72A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C8"/>
    <w:pPr>
      <w:spacing w:line="259" w:lineRule="auto"/>
    </w:pPr>
    <w:rPr>
      <w:rFonts w:eastAsiaTheme="minorHAnsi"/>
      <w:kern w:val="0"/>
      <w:sz w:val="22"/>
      <w:szCs w:val="22"/>
      <w:lang w:eastAsia="en-US"/>
      <w14:ligatures w14:val="none"/>
    </w:rPr>
  </w:style>
  <w:style w:type="paragraph" w:styleId="Titre1">
    <w:name w:val="heading 1"/>
    <w:basedOn w:val="Normal"/>
    <w:next w:val="Normal"/>
    <w:link w:val="Titre1Car"/>
    <w:uiPriority w:val="9"/>
    <w:qFormat/>
    <w:rsid w:val="001F06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F06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F065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F065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F065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F065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F065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F065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F065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F065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F065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F065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F065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F065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F065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F065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F065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F0653"/>
    <w:rPr>
      <w:rFonts w:eastAsiaTheme="majorEastAsia" w:cstheme="majorBidi"/>
      <w:color w:val="272727" w:themeColor="text1" w:themeTint="D8"/>
    </w:rPr>
  </w:style>
  <w:style w:type="paragraph" w:styleId="Titre">
    <w:name w:val="Title"/>
    <w:basedOn w:val="Normal"/>
    <w:next w:val="Normal"/>
    <w:link w:val="TitreCar"/>
    <w:uiPriority w:val="10"/>
    <w:qFormat/>
    <w:rsid w:val="001F06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F065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F065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F065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F0653"/>
    <w:pPr>
      <w:spacing w:before="160"/>
      <w:jc w:val="center"/>
    </w:pPr>
    <w:rPr>
      <w:i/>
      <w:iCs/>
      <w:color w:val="404040" w:themeColor="text1" w:themeTint="BF"/>
    </w:rPr>
  </w:style>
  <w:style w:type="character" w:customStyle="1" w:styleId="CitationCar">
    <w:name w:val="Citation Car"/>
    <w:basedOn w:val="Policepardfaut"/>
    <w:link w:val="Citation"/>
    <w:uiPriority w:val="29"/>
    <w:rsid w:val="001F0653"/>
    <w:rPr>
      <w:i/>
      <w:iCs/>
      <w:color w:val="404040" w:themeColor="text1" w:themeTint="BF"/>
    </w:rPr>
  </w:style>
  <w:style w:type="paragraph" w:styleId="Paragraphedeliste">
    <w:name w:val="List Paragraph"/>
    <w:basedOn w:val="Normal"/>
    <w:uiPriority w:val="34"/>
    <w:qFormat/>
    <w:rsid w:val="001F0653"/>
    <w:pPr>
      <w:ind w:left="720"/>
      <w:contextualSpacing/>
    </w:pPr>
  </w:style>
  <w:style w:type="character" w:styleId="Accentuationintense">
    <w:name w:val="Intense Emphasis"/>
    <w:basedOn w:val="Policepardfaut"/>
    <w:uiPriority w:val="21"/>
    <w:qFormat/>
    <w:rsid w:val="001F0653"/>
    <w:rPr>
      <w:i/>
      <w:iCs/>
      <w:color w:val="0F4761" w:themeColor="accent1" w:themeShade="BF"/>
    </w:rPr>
  </w:style>
  <w:style w:type="paragraph" w:styleId="Citationintense">
    <w:name w:val="Intense Quote"/>
    <w:basedOn w:val="Normal"/>
    <w:next w:val="Normal"/>
    <w:link w:val="CitationintenseCar"/>
    <w:uiPriority w:val="30"/>
    <w:qFormat/>
    <w:rsid w:val="001F0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F0653"/>
    <w:rPr>
      <w:i/>
      <w:iCs/>
      <w:color w:val="0F4761" w:themeColor="accent1" w:themeShade="BF"/>
    </w:rPr>
  </w:style>
  <w:style w:type="character" w:styleId="Rfrenceintense">
    <w:name w:val="Intense Reference"/>
    <w:basedOn w:val="Policepardfaut"/>
    <w:uiPriority w:val="32"/>
    <w:qFormat/>
    <w:rsid w:val="001F0653"/>
    <w:rPr>
      <w:b/>
      <w:bCs/>
      <w:smallCaps/>
      <w:color w:val="0F4761" w:themeColor="accent1" w:themeShade="BF"/>
      <w:spacing w:val="5"/>
    </w:rPr>
  </w:style>
  <w:style w:type="paragraph" w:styleId="En-tte">
    <w:name w:val="header"/>
    <w:basedOn w:val="Normal"/>
    <w:link w:val="En-tteCar"/>
    <w:uiPriority w:val="99"/>
    <w:unhideWhenUsed/>
    <w:rsid w:val="009943FD"/>
    <w:pPr>
      <w:tabs>
        <w:tab w:val="center" w:pos="4513"/>
        <w:tab w:val="right" w:pos="9026"/>
      </w:tabs>
      <w:spacing w:after="0" w:line="240" w:lineRule="auto"/>
    </w:pPr>
  </w:style>
  <w:style w:type="character" w:customStyle="1" w:styleId="En-tteCar">
    <w:name w:val="En-tête Car"/>
    <w:basedOn w:val="Policepardfaut"/>
    <w:link w:val="En-tte"/>
    <w:uiPriority w:val="99"/>
    <w:rsid w:val="009943FD"/>
  </w:style>
  <w:style w:type="paragraph" w:styleId="Pieddepage">
    <w:name w:val="footer"/>
    <w:basedOn w:val="Normal"/>
    <w:link w:val="PieddepageCar"/>
    <w:uiPriority w:val="99"/>
    <w:unhideWhenUsed/>
    <w:rsid w:val="009943FD"/>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9943FD"/>
  </w:style>
  <w:style w:type="table" w:styleId="Grilledutableau">
    <w:name w:val="Table Grid"/>
    <w:basedOn w:val="TableauNormal"/>
    <w:uiPriority w:val="39"/>
    <w:rsid w:val="009943FD"/>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2B5FF9"/>
    <w:rPr>
      <w:rFonts w:cs="Times New Roman"/>
      <w:color w:val="0000FF"/>
      <w:u w:val="single"/>
    </w:rPr>
  </w:style>
  <w:style w:type="paragraph" w:customStyle="1" w:styleId="FootnoteText1">
    <w:name w:val="Footnote Text1"/>
    <w:basedOn w:val="Normal"/>
    <w:next w:val="Notedebasdepage"/>
    <w:link w:val="FootnoteTextChar"/>
    <w:uiPriority w:val="99"/>
    <w:unhideWhenUsed/>
    <w:rsid w:val="00112092"/>
    <w:pPr>
      <w:spacing w:after="0" w:line="240" w:lineRule="auto"/>
    </w:pPr>
    <w:rPr>
      <w:rFonts w:eastAsiaTheme="minorEastAsia"/>
      <w:kern w:val="2"/>
      <w:sz w:val="20"/>
      <w:szCs w:val="20"/>
      <w:lang w:eastAsia="zh-CN"/>
      <w14:ligatures w14:val="standardContextual"/>
    </w:rPr>
  </w:style>
  <w:style w:type="character" w:customStyle="1" w:styleId="FootnoteTextChar">
    <w:name w:val="Footnote Text Char"/>
    <w:basedOn w:val="Policepardfaut"/>
    <w:link w:val="FootnoteText1"/>
    <w:uiPriority w:val="99"/>
    <w:rsid w:val="00112092"/>
    <w:rPr>
      <w:sz w:val="20"/>
      <w:szCs w:val="20"/>
      <w:lang w:val="en-GB"/>
    </w:rPr>
  </w:style>
  <w:style w:type="character" w:styleId="Appelnotedebasdep">
    <w:name w:val="footnote reference"/>
    <w:basedOn w:val="Policepardfaut"/>
    <w:uiPriority w:val="99"/>
    <w:unhideWhenUsed/>
    <w:rsid w:val="00112092"/>
    <w:rPr>
      <w:vertAlign w:val="superscript"/>
    </w:rPr>
  </w:style>
  <w:style w:type="paragraph" w:styleId="Notedebasdepage">
    <w:name w:val="footnote text"/>
    <w:basedOn w:val="Normal"/>
    <w:link w:val="NotedebasdepageCar"/>
    <w:uiPriority w:val="99"/>
    <w:semiHidden/>
    <w:unhideWhenUsed/>
    <w:rsid w:val="0011209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12092"/>
    <w:rPr>
      <w:rFonts w:eastAsiaTheme="minorHAnsi"/>
      <w:kern w:val="0"/>
      <w:sz w:val="20"/>
      <w:szCs w:val="20"/>
      <w:lang w:val="en-GB" w:eastAsia="en-US"/>
      <w14:ligatures w14:val="none"/>
    </w:rPr>
  </w:style>
  <w:style w:type="paragraph" w:styleId="Rvision">
    <w:name w:val="Revision"/>
    <w:hidden/>
    <w:uiPriority w:val="99"/>
    <w:semiHidden/>
    <w:rsid w:val="000606A7"/>
    <w:pPr>
      <w:spacing w:after="0" w:line="240" w:lineRule="auto"/>
    </w:pPr>
    <w:rPr>
      <w:rFonts w:eastAsiaTheme="minorHAnsi"/>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8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facebook.com/glevent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https://twitter.com/glevents"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channel/UCG8psj_PNhvRwHlMq7uh6ug" TargetMode="External"/><Relationship Id="rId20" Type="http://schemas.openxmlformats.org/officeDocument/2006/relationships/hyperlink" Target="https://www.instagram.com/gleventsgrou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l-events.com/" TargetMode="External"/><Relationship Id="rId24" Type="http://schemas.openxmlformats.org/officeDocument/2006/relationships/hyperlink" Target="mailto:glevents@fticonsulting.com"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gl-events/" TargetMode="External"/><Relationship Id="rId22" Type="http://schemas.openxmlformats.org/officeDocument/2006/relationships/hyperlink" Target="http://www.google.com/url?url=http://www.cbanque.com/actu/44580/pea-pme-comment-connaitre-les-titres-et-fonds-eligibles&amp;rct=j&amp;frm=1&amp;q=&amp;esrc=s&amp;sa=U&amp;ei=gBe8U7OIIIqd0QXZtoHoDQ&amp;ved=0CCYQ9QEwCA&amp;usg=AFQjCNGWfGsEIcTJkQABYA6yEJDPeK5gvg"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abced3-50be-4967-ac64-eaac617fc8fb" xsi:nil="true"/>
    <lcf76f155ced4ddcb4097134ff3c332f xmlns="0f6b7174-6516-470e-bde5-603932f55a7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C069B19FF2F645ABE7398A4D781C19" ma:contentTypeVersion="13" ma:contentTypeDescription="Create a new document." ma:contentTypeScope="" ma:versionID="f94fc758af20272f9ff8440b8352cfdc">
  <xsd:schema xmlns:xsd="http://www.w3.org/2001/XMLSchema" xmlns:xs="http://www.w3.org/2001/XMLSchema" xmlns:p="http://schemas.microsoft.com/office/2006/metadata/properties" xmlns:ns2="0f6b7174-6516-470e-bde5-603932f55a7c" xmlns:ns3="9babced3-50be-4967-ac64-eaac617fc8fb" targetNamespace="http://schemas.microsoft.com/office/2006/metadata/properties" ma:root="true" ma:fieldsID="4a4e071131d8ac021fd033b4d6b19dbb" ns2:_="" ns3:_="">
    <xsd:import namespace="0f6b7174-6516-470e-bde5-603932f55a7c"/>
    <xsd:import namespace="9babced3-50be-4967-ac64-eaac617fc8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b7174-6516-470e-bde5-603932f55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eaa13d-ada4-4a84-9029-5ef133c99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abced3-50be-4967-ac64-eaac617fc8f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a3b83b1-0241-4439-83e3-8a8dd22fc899}" ma:internalName="TaxCatchAll" ma:showField="CatchAllData" ma:web="9babced3-50be-4967-ac64-eaac617fc8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58F5F-E5A4-4D71-9514-2CF09468CEA7}">
  <ds:schemaRefs>
    <ds:schemaRef ds:uri="http://schemas.microsoft.com/office/2006/metadata/properties"/>
    <ds:schemaRef ds:uri="http://schemas.microsoft.com/office/infopath/2007/PartnerControls"/>
    <ds:schemaRef ds:uri="9babced3-50be-4967-ac64-eaac617fc8fb"/>
    <ds:schemaRef ds:uri="0f6b7174-6516-470e-bde5-603932f55a7c"/>
  </ds:schemaRefs>
</ds:datastoreItem>
</file>

<file path=customXml/itemProps2.xml><?xml version="1.0" encoding="utf-8"?>
<ds:datastoreItem xmlns:ds="http://schemas.openxmlformats.org/officeDocument/2006/customXml" ds:itemID="{F2EADF02-FA36-4998-85E0-A1CC79C58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b7174-6516-470e-bde5-603932f55a7c"/>
    <ds:schemaRef ds:uri="9babced3-50be-4967-ac64-eaac617fc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B5A6C-B466-4FB3-B619-46CF1F2A4C95}">
  <ds:schemaRefs>
    <ds:schemaRef ds:uri="http://schemas.microsoft.com/sharepoint/v3/contenttype/forms"/>
  </ds:schemaRefs>
</ds:datastoreItem>
</file>

<file path=customXml/itemProps4.xml><?xml version="1.0" encoding="utf-8"?>
<ds:datastoreItem xmlns:ds="http://schemas.openxmlformats.org/officeDocument/2006/customXml" ds:itemID="{C71BF70D-0A79-44EF-9594-EC5B26E9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1350</Words>
  <Characters>7429</Characters>
  <Application>Microsoft Office Word</Application>
  <DocSecurity>4</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8762</CharactersWithSpaces>
  <SharedDoc>false</SharedDoc>
  <HLinks>
    <vt:vector size="12" baseType="variant">
      <vt:variant>
        <vt:i4>6684767</vt:i4>
      </vt:variant>
      <vt:variant>
        <vt:i4>15</vt:i4>
      </vt:variant>
      <vt:variant>
        <vt:i4>0</vt:i4>
      </vt:variant>
      <vt:variant>
        <vt:i4>5</vt:i4>
      </vt:variant>
      <vt:variant>
        <vt:lpwstr>mailto:glevents@fticonsulting.com</vt:lpwstr>
      </vt:variant>
      <vt:variant>
        <vt:lpwstr/>
      </vt:variant>
      <vt:variant>
        <vt:i4>262153</vt:i4>
      </vt:variant>
      <vt:variant>
        <vt:i4>12</vt:i4>
      </vt:variant>
      <vt:variant>
        <vt:i4>0</vt:i4>
      </vt:variant>
      <vt:variant>
        <vt:i4>5</vt:i4>
      </vt:variant>
      <vt:variant>
        <vt:lpwstr>http://www.gl-events.com/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Antoine</dc:creator>
  <cp:lastModifiedBy>Karen GRAND</cp:lastModifiedBy>
  <cp:revision>2</cp:revision>
  <cp:lastPrinted>2025-04-17T07:35:00Z</cp:lastPrinted>
  <dcterms:created xsi:type="dcterms:W3CDTF">2026-04-14T15:51:00Z</dcterms:created>
  <dcterms:modified xsi:type="dcterms:W3CDTF">2026-04-14T15:51:00Z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0x01010034C069B19FF2F645ABE7398A4D781C19</vt:lpwstr>
  </property>
  <property fmtid="{D5CDD505-2E9C-101B-9397-08002B2CF9AE}" pid="3" name="MediaServiceImageTags">
    <vt:lpwstr/>
  </property>
</Properties>
</file>